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94FE1" w14:textId="7F3DF65A" w:rsidR="001534F2" w:rsidRPr="001B1A3C" w:rsidRDefault="00970BDB" w:rsidP="001B1A3C">
      <w:pPr>
        <w:jc w:val="right"/>
        <w:rPr>
          <w:rFonts w:eastAsia="Calibri"/>
        </w:rPr>
      </w:pPr>
      <w:r w:rsidRPr="001B1A3C">
        <w:rPr>
          <w:rFonts w:eastAsia="Calibri"/>
        </w:rPr>
        <w:t xml:space="preserve">Appendix </w:t>
      </w:r>
      <w:r w:rsidR="001534F2" w:rsidRPr="001B1A3C">
        <w:rPr>
          <w:rFonts w:eastAsia="Calibri"/>
          <w:cs/>
        </w:rPr>
        <w:t>2</w:t>
      </w:r>
      <w:r w:rsidR="001534F2" w:rsidRPr="001B1A3C">
        <w:rPr>
          <w:rFonts w:eastAsia="Calibri"/>
          <w:cs/>
        </w:rPr>
        <w:br/>
      </w:r>
      <w:r w:rsidR="001534F2" w:rsidRPr="001B1A3C">
        <w:rPr>
          <w:rFonts w:eastAsia="Calibri"/>
          <w:sz w:val="28"/>
          <w:szCs w:val="28"/>
        </w:rPr>
        <w:t>[</w:t>
      </w:r>
      <w:r w:rsidR="0006220C" w:rsidRPr="001B1A3C">
        <w:rPr>
          <w:sz w:val="28"/>
          <w:szCs w:val="28"/>
        </w:rPr>
        <w:t xml:space="preserve">Attached to the SEC Office Notification No. Sor Thor. 38/2565 </w:t>
      </w:r>
      <w:r w:rsidR="0006220C" w:rsidRPr="001B1A3C">
        <w:rPr>
          <w:sz w:val="28"/>
          <w:szCs w:val="28"/>
        </w:rPr>
        <w:br/>
        <w:t>as amended by the SEC Office Notification No. Sor Thor. 33/2567 (No. 2)]</w:t>
      </w:r>
    </w:p>
    <w:p w14:paraId="65067397" w14:textId="03EE86C1" w:rsidR="003D7076" w:rsidRPr="001B1A3C" w:rsidRDefault="001D496A" w:rsidP="00970BDB">
      <w:pPr>
        <w:spacing w:before="240" w:line="240" w:lineRule="auto"/>
        <w:jc w:val="center"/>
        <w:rPr>
          <w:b/>
          <w:bCs/>
          <w:u w:val="single"/>
        </w:rPr>
      </w:pPr>
      <w:r w:rsidRPr="001B1A3C">
        <w:rPr>
          <w:b/>
          <w:bCs/>
          <w:u w:val="single"/>
        </w:rPr>
        <w:t>Information Technology Governance</w:t>
      </w:r>
    </w:p>
    <w:p w14:paraId="4ECB27D3" w14:textId="19A0B0D4" w:rsidR="00BE001E" w:rsidRPr="001B1A3C" w:rsidRDefault="00970BDB" w:rsidP="00BE001E">
      <w:pPr>
        <w:pStyle w:val="Header"/>
        <w:tabs>
          <w:tab w:val="left" w:pos="720"/>
          <w:tab w:val="right" w:pos="8910"/>
        </w:tabs>
        <w:ind w:right="-720"/>
        <w:rPr>
          <w:rFonts w:cs="TH SarabunPSK"/>
          <w:szCs w:val="32"/>
          <w:u w:val="single"/>
        </w:rPr>
      </w:pPr>
      <w:r w:rsidRPr="001B1A3C">
        <w:rPr>
          <w:rFonts w:cs="TH SarabunPSK"/>
          <w:szCs w:val="32"/>
          <w:u w:val="single"/>
        </w:rPr>
        <w:t xml:space="preserve">Scope of operation </w:t>
      </w:r>
    </w:p>
    <w:p w14:paraId="43F4286C" w14:textId="22A36D0F" w:rsidR="00B23174" w:rsidRPr="001B1A3C" w:rsidRDefault="00970BDB" w:rsidP="00DF014B">
      <w:pPr>
        <w:pStyle w:val="ListParagraph"/>
        <w:ind w:left="0"/>
        <w:contextualSpacing w:val="0"/>
        <w:rPr>
          <w:rFonts w:ascii="TH SarabunPSK" w:hAnsi="TH SarabunPSK" w:cs="TH SarabunPSK"/>
          <w:sz w:val="32"/>
          <w:szCs w:val="32"/>
          <w:u w:val="single"/>
        </w:rPr>
      </w:pPr>
      <w:r w:rsidRPr="001B1A3C">
        <w:rPr>
          <w:rFonts w:ascii="TH SarabunPSK" w:hAnsi="TH SarabunPSK" w:cs="TH SarabunPSK"/>
          <w:sz w:val="32"/>
          <w:szCs w:val="32"/>
        </w:rPr>
        <w:t xml:space="preserve">Low-risk business operators, medium-risk business operators or high-risk business operators shall </w:t>
      </w:r>
      <w:r w:rsidR="006518A2" w:rsidRPr="001B1A3C">
        <w:rPr>
          <w:rFonts w:ascii="TH SarabunPSK" w:hAnsi="TH SarabunPSK" w:cs="TH SarabunPSK"/>
          <w:sz w:val="32"/>
          <w:szCs w:val="32"/>
        </w:rPr>
        <w:t>comply with the provisions s</w:t>
      </w:r>
      <w:r w:rsidRPr="001B1A3C">
        <w:rPr>
          <w:rFonts w:ascii="TH SarabunPSK" w:hAnsi="TH SarabunPSK" w:cs="TH SarabunPSK"/>
          <w:sz w:val="32"/>
          <w:szCs w:val="32"/>
        </w:rPr>
        <w:t xml:space="preserve">pecified </w:t>
      </w:r>
      <w:r w:rsidR="006518A2" w:rsidRPr="001B1A3C">
        <w:rPr>
          <w:rFonts w:ascii="TH SarabunPSK" w:hAnsi="TH SarabunPSK" w:cs="TH SarabunPSK"/>
          <w:sz w:val="32"/>
          <w:szCs w:val="32"/>
        </w:rPr>
        <w:t>here</w:t>
      </w:r>
      <w:r w:rsidRPr="001B1A3C">
        <w:rPr>
          <w:rFonts w:ascii="TH SarabunPSK" w:hAnsi="TH SarabunPSK" w:cs="TH SarabunPSK"/>
          <w:sz w:val="32"/>
          <w:szCs w:val="32"/>
        </w:rPr>
        <w:t xml:space="preserve">under. </w:t>
      </w:r>
    </w:p>
    <w:p w14:paraId="0B3583CE" w14:textId="3CD0137F" w:rsidR="004E0D86" w:rsidRPr="001B1A3C" w:rsidRDefault="006518A2" w:rsidP="00B23174">
      <w:pPr>
        <w:pStyle w:val="ListParagraph"/>
        <w:spacing w:before="240"/>
        <w:ind w:left="0"/>
        <w:contextualSpacing w:val="0"/>
        <w:rPr>
          <w:rFonts w:ascii="TH SarabunPSK" w:hAnsi="TH SarabunPSK" w:cs="TH SarabunPSK"/>
          <w:sz w:val="32"/>
          <w:szCs w:val="32"/>
          <w:u w:val="single"/>
        </w:rPr>
      </w:pPr>
      <w:r w:rsidRPr="001B1A3C">
        <w:rPr>
          <w:rFonts w:ascii="TH SarabunPSK" w:hAnsi="TH SarabunPSK" w:cs="TH SarabunPSK"/>
          <w:sz w:val="32"/>
          <w:szCs w:val="32"/>
          <w:u w:val="single"/>
        </w:rPr>
        <w:t xml:space="preserve">Operation related to IT Governance </w:t>
      </w:r>
    </w:p>
    <w:p w14:paraId="438D4B96" w14:textId="7578E7F7" w:rsidR="003D7076" w:rsidRPr="001B1A3C" w:rsidRDefault="006518A2" w:rsidP="00B23174">
      <w:pPr>
        <w:pStyle w:val="ListParagraph"/>
        <w:spacing w:before="240"/>
        <w:ind w:left="0"/>
        <w:contextualSpacing w:val="0"/>
        <w:rPr>
          <w:rFonts w:ascii="TH SarabunPSK" w:hAnsi="TH SarabunPSK" w:cs="TH SarabunPSK"/>
          <w:sz w:val="32"/>
          <w:szCs w:val="32"/>
        </w:rPr>
      </w:pPr>
      <w:r w:rsidRPr="001B1A3C">
        <w:rPr>
          <w:rFonts w:ascii="TH SarabunPSK" w:hAnsi="TH SarabunPSK" w:cs="TH SarabunPSK"/>
          <w:sz w:val="32"/>
          <w:szCs w:val="32"/>
          <w:u w:val="single"/>
        </w:rPr>
        <w:t xml:space="preserve">Part </w:t>
      </w:r>
      <w:r w:rsidR="003D7076" w:rsidRPr="001B1A3C">
        <w:rPr>
          <w:rFonts w:ascii="TH SarabunPSK" w:hAnsi="TH SarabunPSK" w:cs="TH SarabunPSK"/>
          <w:sz w:val="32"/>
          <w:szCs w:val="32"/>
          <w:u w:val="single"/>
          <w:cs/>
        </w:rPr>
        <w:t>1</w:t>
      </w:r>
      <w:r w:rsidR="00006E93" w:rsidRPr="001B1A3C">
        <w:rPr>
          <w:rFonts w:ascii="TH SarabunPSK" w:hAnsi="TH SarabunPSK" w:cs="TH SarabunPSK"/>
          <w:sz w:val="32"/>
          <w:szCs w:val="32"/>
        </w:rPr>
        <w:t>:</w:t>
      </w:r>
      <w:r w:rsidR="003D7076" w:rsidRPr="001B1A3C">
        <w:rPr>
          <w:rFonts w:ascii="TH SarabunPSK" w:hAnsi="TH SarabunPSK" w:cs="TH SarabunPSK"/>
          <w:sz w:val="32"/>
          <w:szCs w:val="32"/>
          <w:cs/>
        </w:rPr>
        <w:t xml:space="preserve"> </w:t>
      </w:r>
      <w:r w:rsidRPr="001B1A3C">
        <w:rPr>
          <w:rFonts w:ascii="TH SarabunPSK" w:hAnsi="TH SarabunPSK" w:cs="TH SarabunPSK"/>
          <w:sz w:val="32"/>
          <w:szCs w:val="32"/>
        </w:rPr>
        <w:t xml:space="preserve">Roles and responsibilities of the Board of Directors </w:t>
      </w:r>
      <w:r w:rsidR="003D7076" w:rsidRPr="001B1A3C">
        <w:rPr>
          <w:rFonts w:ascii="TH SarabunPSK" w:hAnsi="TH SarabunPSK" w:cs="TH SarabunPSK"/>
          <w:sz w:val="32"/>
          <w:szCs w:val="32"/>
        </w:rPr>
        <w:t xml:space="preserve"> </w:t>
      </w:r>
    </w:p>
    <w:p w14:paraId="2F330502" w14:textId="0079FEDA" w:rsidR="00006E93" w:rsidRPr="001B1A3C" w:rsidRDefault="007E01B0" w:rsidP="002F4B69">
      <w:pPr>
        <w:pStyle w:val="ListParagraph"/>
        <w:tabs>
          <w:tab w:val="left" w:pos="0"/>
        </w:tabs>
        <w:ind w:left="0"/>
        <w:contextualSpacing w:val="0"/>
        <w:rPr>
          <w:rFonts w:ascii="TH SarabunPSK" w:hAnsi="TH SarabunPSK" w:cs="TH SarabunPSK"/>
          <w:sz w:val="32"/>
          <w:szCs w:val="32"/>
        </w:rPr>
      </w:pPr>
      <w:r w:rsidRPr="001B1A3C">
        <w:rPr>
          <w:rFonts w:ascii="TH SarabunPSK" w:hAnsi="TH SarabunPSK" w:cs="TH SarabunPSK"/>
          <w:sz w:val="32"/>
          <w:szCs w:val="32"/>
          <w:cs/>
        </w:rPr>
        <w:tab/>
      </w:r>
      <w:bookmarkStart w:id="0" w:name="_Hlk96501566"/>
      <w:r w:rsidR="00006E93" w:rsidRPr="001B1A3C">
        <w:rPr>
          <w:rFonts w:ascii="TH SarabunPSK" w:hAnsi="TH SarabunPSK" w:cs="TH SarabunPSK"/>
          <w:sz w:val="32"/>
          <w:szCs w:val="32"/>
        </w:rPr>
        <w:t xml:space="preserve">A </w:t>
      </w:r>
      <w:r w:rsidR="00F35CCD" w:rsidRPr="001B1A3C">
        <w:rPr>
          <w:rFonts w:ascii="TH SarabunPSK" w:hAnsi="TH SarabunPSK" w:cs="TH SarabunPSK"/>
          <w:sz w:val="32"/>
          <w:szCs w:val="32"/>
        </w:rPr>
        <w:t>b</w:t>
      </w:r>
      <w:r w:rsidR="00006E93" w:rsidRPr="001B1A3C">
        <w:rPr>
          <w:rFonts w:ascii="TH SarabunPSK" w:hAnsi="TH SarabunPSK" w:cs="TH SarabunPSK"/>
          <w:sz w:val="32"/>
          <w:szCs w:val="32"/>
        </w:rPr>
        <w:t>usiness operator shall ensure that IT risk governance will be supervised by its board of directors to ensure that the IT risk is aligned with risk appetite, taking into consideration the enterprise risk management (if any). The business operator shall at least address the following matters:</w:t>
      </w:r>
    </w:p>
    <w:bookmarkEnd w:id="0"/>
    <w:p w14:paraId="035A2534" w14:textId="17123F77" w:rsidR="003D7076" w:rsidRPr="001B1A3C" w:rsidRDefault="003D7076" w:rsidP="00227DE2">
      <w:pPr>
        <w:pStyle w:val="ListParagraph"/>
        <w:tabs>
          <w:tab w:val="left" w:pos="0"/>
        </w:tabs>
        <w:ind w:left="0"/>
        <w:contextualSpacing w:val="0"/>
        <w:rPr>
          <w:rFonts w:ascii="TH SarabunPSK" w:hAnsi="TH SarabunPSK" w:cs="TH SarabunPSK"/>
          <w:strike/>
          <w:sz w:val="32"/>
          <w:szCs w:val="32"/>
          <w:highlight w:val="yellow"/>
        </w:rPr>
      </w:pPr>
      <w:r w:rsidRPr="001B1A3C">
        <w:rPr>
          <w:sz w:val="32"/>
          <w:szCs w:val="32"/>
          <w:cs/>
        </w:rPr>
        <w:tab/>
      </w:r>
      <w:r w:rsidRPr="001B1A3C">
        <w:rPr>
          <w:rFonts w:ascii="TH SarabunPSK" w:hAnsi="TH SarabunPSK" w:cs="TH SarabunPSK"/>
          <w:sz w:val="32"/>
          <w:szCs w:val="32"/>
          <w:cs/>
        </w:rPr>
        <w:t>1.1</w:t>
      </w:r>
      <w:r w:rsidRPr="001B1A3C">
        <w:rPr>
          <w:rFonts w:ascii="TH SarabunPSK" w:hAnsi="TH SarabunPSK" w:cs="TH SarabunPSK"/>
          <w:sz w:val="32"/>
          <w:szCs w:val="32"/>
        </w:rPr>
        <w:t xml:space="preserve"> </w:t>
      </w:r>
      <w:r w:rsidR="005F420A" w:rsidRPr="001B1A3C">
        <w:rPr>
          <w:rFonts w:ascii="TH SarabunPSK" w:hAnsi="TH SarabunPSK" w:cs="TH SarabunPSK"/>
          <w:sz w:val="32"/>
          <w:szCs w:val="32"/>
        </w:rPr>
        <w:t xml:space="preserve"> </w:t>
      </w:r>
      <w:r w:rsidR="00006E93" w:rsidRPr="001B1A3C">
        <w:rPr>
          <w:rFonts w:ascii="TH SarabunPSK" w:hAnsi="TH SarabunPSK" w:cs="TH SarabunPSK"/>
          <w:sz w:val="32"/>
          <w:szCs w:val="32"/>
        </w:rPr>
        <w:t xml:space="preserve">Establishment of an IT governance framework and oversight of IT plans, ensuring the IT plans will conform with business plans and be sufficiently appropriate for accommodating future IT changes and business operation changes;  </w:t>
      </w:r>
    </w:p>
    <w:p w14:paraId="3451EED8" w14:textId="355CEF2B" w:rsidR="003D7076" w:rsidRPr="001B1A3C" w:rsidRDefault="003D7076" w:rsidP="00E978C3">
      <w:pPr>
        <w:tabs>
          <w:tab w:val="left" w:pos="0"/>
        </w:tabs>
        <w:spacing w:after="0" w:line="240" w:lineRule="auto"/>
        <w:ind w:right="-270"/>
        <w:rPr>
          <w:cs/>
        </w:rPr>
      </w:pPr>
      <w:r w:rsidRPr="001B1A3C">
        <w:rPr>
          <w:cs/>
        </w:rPr>
        <w:tab/>
        <w:t>1.2</w:t>
      </w:r>
      <w:r w:rsidRPr="001B1A3C">
        <w:t xml:space="preserve"> </w:t>
      </w:r>
      <w:r w:rsidR="00006E93" w:rsidRPr="001B1A3C">
        <w:t>allocation of appropriate and sufficient IT resources and IT personnel for business operation;</w:t>
      </w:r>
      <w:r w:rsidRPr="001B1A3C">
        <w:t xml:space="preserve"> </w:t>
      </w:r>
      <w:r w:rsidR="00E82203" w:rsidRPr="001B1A3C">
        <w:t xml:space="preserve"> </w:t>
      </w:r>
    </w:p>
    <w:p w14:paraId="769C737C" w14:textId="63029298" w:rsidR="007E01B0" w:rsidRPr="001B1A3C" w:rsidRDefault="003D7076" w:rsidP="00582C7A">
      <w:pPr>
        <w:tabs>
          <w:tab w:val="left" w:pos="0"/>
        </w:tabs>
        <w:spacing w:after="0" w:line="240" w:lineRule="auto"/>
        <w:ind w:right="-360"/>
      </w:pPr>
      <w:r w:rsidRPr="001B1A3C">
        <w:rPr>
          <w:cs/>
        </w:rPr>
        <w:tab/>
        <w:t>1.3</w:t>
      </w:r>
      <w:r w:rsidRPr="001B1A3C">
        <w:t xml:space="preserve">  </w:t>
      </w:r>
      <w:r w:rsidR="00E82203" w:rsidRPr="001B1A3C">
        <w:t>stipulation of written policies related to IT risk supervision, which shall at least cover the policies prescribed in Clause 2.2</w:t>
      </w:r>
      <w:r w:rsidR="006B59C4" w:rsidRPr="001B1A3C">
        <w:t xml:space="preserve"> of Part 2</w:t>
      </w:r>
      <w:r w:rsidR="00E82203" w:rsidRPr="001B1A3C">
        <w:t xml:space="preserve">;   </w:t>
      </w:r>
    </w:p>
    <w:p w14:paraId="0AE1A8DC" w14:textId="69855FDC" w:rsidR="003D7076" w:rsidRPr="001B1A3C" w:rsidRDefault="007E01B0" w:rsidP="0023247A">
      <w:pPr>
        <w:tabs>
          <w:tab w:val="left" w:pos="0"/>
        </w:tabs>
        <w:spacing w:after="0" w:line="240" w:lineRule="auto"/>
        <w:ind w:right="-180"/>
      </w:pPr>
      <w:r w:rsidRPr="001B1A3C">
        <w:rPr>
          <w:cs/>
        </w:rPr>
        <w:tab/>
      </w:r>
      <w:r w:rsidR="003D7076" w:rsidRPr="001B1A3C">
        <w:rPr>
          <w:cs/>
        </w:rPr>
        <w:t>1.4</w:t>
      </w:r>
      <w:r w:rsidR="003D7076" w:rsidRPr="001B1A3C">
        <w:t xml:space="preserve">  </w:t>
      </w:r>
      <w:r w:rsidR="00EE222E" w:rsidRPr="001B1A3C">
        <w:t xml:space="preserve">establishment of processes and procedures for IT risk management and IT security to be in line with policies in Clause 1.3, including ensuring appropriate implementation thereof; </w:t>
      </w:r>
    </w:p>
    <w:p w14:paraId="0E17C2B0" w14:textId="07BC0C9A" w:rsidR="003D7076" w:rsidRPr="001B1A3C" w:rsidRDefault="003D7076" w:rsidP="002F4B69">
      <w:pPr>
        <w:tabs>
          <w:tab w:val="left" w:pos="0"/>
        </w:tabs>
        <w:spacing w:after="0" w:line="240" w:lineRule="auto"/>
      </w:pPr>
      <w:r w:rsidRPr="001B1A3C">
        <w:rPr>
          <w:cs/>
        </w:rPr>
        <w:tab/>
        <w:t>1.5</w:t>
      </w:r>
      <w:r w:rsidRPr="001B1A3C">
        <w:t xml:space="preserve">  </w:t>
      </w:r>
      <w:r w:rsidR="00673479" w:rsidRPr="001B1A3C">
        <w:rPr>
          <w:rFonts w:eastAsia="Times New Roman"/>
        </w:rPr>
        <w:t>c</w:t>
      </w:r>
      <w:r w:rsidR="00673479" w:rsidRPr="001B1A3C">
        <w:rPr>
          <w:rFonts w:eastAsia="Times New Roman" w:hint="cs"/>
        </w:rPr>
        <w:t>reation of knowledge and awareness of IT risk for directors and personnel continuously and effectively</w:t>
      </w:r>
      <w:r w:rsidR="00673479" w:rsidRPr="001B1A3C">
        <w:rPr>
          <w:rFonts w:eastAsia="Times New Roman"/>
        </w:rPr>
        <w:t>; and</w:t>
      </w:r>
      <w:r w:rsidR="00673479" w:rsidRPr="001B1A3C">
        <w:rPr>
          <w:rFonts w:hint="cs"/>
          <w:cs/>
        </w:rPr>
        <w:t xml:space="preserve"> </w:t>
      </w:r>
    </w:p>
    <w:p w14:paraId="40948758" w14:textId="23BF4A2A" w:rsidR="003D7076" w:rsidRPr="001B1A3C" w:rsidRDefault="003D7076" w:rsidP="002F4B69">
      <w:pPr>
        <w:tabs>
          <w:tab w:val="left" w:pos="0"/>
        </w:tabs>
        <w:spacing w:after="0" w:line="240" w:lineRule="auto"/>
        <w:ind w:right="-180"/>
      </w:pPr>
      <w:r w:rsidRPr="001B1A3C">
        <w:rPr>
          <w:cs/>
        </w:rPr>
        <w:tab/>
        <w:t>1.6</w:t>
      </w:r>
      <w:r w:rsidRPr="001B1A3C">
        <w:t xml:space="preserve">  </w:t>
      </w:r>
      <w:r w:rsidR="00673479" w:rsidRPr="001B1A3C">
        <w:rPr>
          <w:rFonts w:eastAsia="Times New Roman"/>
        </w:rPr>
        <w:t>m</w:t>
      </w:r>
      <w:r w:rsidR="00673479" w:rsidRPr="001B1A3C">
        <w:rPr>
          <w:rFonts w:eastAsia="Times New Roman" w:hint="cs"/>
        </w:rPr>
        <w:t xml:space="preserve">onitoring, </w:t>
      </w:r>
      <w:r w:rsidR="00673479" w:rsidRPr="001B1A3C">
        <w:rPr>
          <w:rFonts w:eastAsia="Times New Roman"/>
        </w:rPr>
        <w:t>reviewi</w:t>
      </w:r>
      <w:r w:rsidR="00673479" w:rsidRPr="001B1A3C">
        <w:rPr>
          <w:rFonts w:eastAsia="Times New Roman" w:hint="cs"/>
        </w:rPr>
        <w:t>ng</w:t>
      </w:r>
      <w:r w:rsidR="00673479" w:rsidRPr="001B1A3C">
        <w:rPr>
          <w:rFonts w:eastAsia="Times New Roman"/>
        </w:rPr>
        <w:t>,</w:t>
      </w:r>
      <w:r w:rsidR="00673479" w:rsidRPr="001B1A3C">
        <w:rPr>
          <w:rFonts w:eastAsia="Times New Roman" w:hint="cs"/>
        </w:rPr>
        <w:t xml:space="preserve"> and reporting </w:t>
      </w:r>
      <w:r w:rsidR="00673479" w:rsidRPr="001B1A3C">
        <w:rPr>
          <w:rFonts w:eastAsia="Times New Roman"/>
        </w:rPr>
        <w:t xml:space="preserve">on the conformance of the </w:t>
      </w:r>
      <w:r w:rsidR="00673479" w:rsidRPr="001B1A3C">
        <w:rPr>
          <w:rFonts w:eastAsia="Times New Roman" w:hint="cs"/>
        </w:rPr>
        <w:t xml:space="preserve">policies </w:t>
      </w:r>
      <w:r w:rsidR="00581D70" w:rsidRPr="001B1A3C">
        <w:rPr>
          <w:rFonts w:eastAsia="Times New Roman"/>
        </w:rPr>
        <w:t>under</w:t>
      </w:r>
      <w:r w:rsidR="00673479" w:rsidRPr="001B1A3C">
        <w:rPr>
          <w:rFonts w:eastAsia="Times New Roman" w:hint="cs"/>
        </w:rPr>
        <w:t xml:space="preserve"> Clause 1.3 to the </w:t>
      </w:r>
      <w:r w:rsidR="00673479" w:rsidRPr="001B1A3C">
        <w:rPr>
          <w:rFonts w:eastAsia="Times New Roman"/>
        </w:rPr>
        <w:t>b</w:t>
      </w:r>
      <w:r w:rsidR="00673479" w:rsidRPr="001B1A3C">
        <w:rPr>
          <w:rFonts w:eastAsia="Times New Roman" w:hint="cs"/>
        </w:rPr>
        <w:t xml:space="preserve">oard of </w:t>
      </w:r>
      <w:r w:rsidR="00673479" w:rsidRPr="001B1A3C">
        <w:rPr>
          <w:rFonts w:eastAsia="Times New Roman"/>
        </w:rPr>
        <w:t>d</w:t>
      </w:r>
      <w:r w:rsidR="00673479" w:rsidRPr="001B1A3C">
        <w:rPr>
          <w:rFonts w:eastAsia="Times New Roman" w:hint="cs"/>
        </w:rPr>
        <w:t xml:space="preserve">irectors </w:t>
      </w:r>
      <w:r w:rsidR="009C6420" w:rsidRPr="001B1A3C">
        <w:rPr>
          <w:rFonts w:eastAsia="Times New Roman"/>
        </w:rPr>
        <w:t>of the business operators</w:t>
      </w:r>
      <w:r w:rsidR="00581D70" w:rsidRPr="001B1A3C">
        <w:rPr>
          <w:rFonts w:eastAsia="Times New Roman"/>
        </w:rPr>
        <w:t>,</w:t>
      </w:r>
      <w:r w:rsidR="009C6420" w:rsidRPr="001B1A3C">
        <w:rPr>
          <w:rFonts w:eastAsia="Times New Roman"/>
        </w:rPr>
        <w:t xml:space="preserve"> or </w:t>
      </w:r>
      <w:r w:rsidR="00581D70" w:rsidRPr="001B1A3C">
        <w:rPr>
          <w:rFonts w:eastAsia="Times New Roman"/>
        </w:rPr>
        <w:t>the</w:t>
      </w:r>
      <w:r w:rsidR="009C6420" w:rsidRPr="001B1A3C">
        <w:rPr>
          <w:rFonts w:eastAsia="Times New Roman"/>
        </w:rPr>
        <w:t xml:space="preserve"> committee assigned by the board of </w:t>
      </w:r>
      <w:r w:rsidR="00581D70" w:rsidRPr="001B1A3C">
        <w:rPr>
          <w:rFonts w:eastAsia="Times New Roman"/>
        </w:rPr>
        <w:t xml:space="preserve">directors of </w:t>
      </w:r>
      <w:r w:rsidR="009C6420" w:rsidRPr="001B1A3C">
        <w:rPr>
          <w:rFonts w:eastAsia="Times New Roman"/>
        </w:rPr>
        <w:t>the business operator (applicable only in the case of a branch of a foreign commercial bank),</w:t>
      </w:r>
      <w:r w:rsidR="00673479" w:rsidRPr="001B1A3C">
        <w:rPr>
          <w:rFonts w:eastAsia="Times New Roman" w:hint="cs"/>
        </w:rPr>
        <w:t xml:space="preserve"> at least once a year</w:t>
      </w:r>
      <w:r w:rsidR="00673479" w:rsidRPr="001B1A3C">
        <w:rPr>
          <w:rFonts w:eastAsia="Times New Roman"/>
        </w:rPr>
        <w:t xml:space="preserve">. </w:t>
      </w:r>
      <w:r w:rsidR="00673479" w:rsidRPr="001B1A3C">
        <w:t xml:space="preserve">In case of the occurrence of any incident or change that </w:t>
      </w:r>
      <w:r w:rsidR="00673479" w:rsidRPr="001B1A3C">
        <w:lastRenderedPageBreak/>
        <w:t xml:space="preserve">may significantly affect the conformance of such policies, </w:t>
      </w:r>
      <w:r w:rsidR="00581D70" w:rsidRPr="001B1A3C">
        <w:t xml:space="preserve">the matter must also be reported to </w:t>
      </w:r>
      <w:r w:rsidR="00673479" w:rsidRPr="001B1A3C">
        <w:t xml:space="preserve">the board of directors </w:t>
      </w:r>
      <w:r w:rsidR="00581D70" w:rsidRPr="001B1A3C">
        <w:t>of the business operator, or the committee assigned by the board of directors of the business operator in the case of a branch of a foreign commercial bank</w:t>
      </w:r>
      <w:r w:rsidR="009C1D68" w:rsidRPr="001B1A3C">
        <w:t>,</w:t>
      </w:r>
      <w:r w:rsidR="00673479" w:rsidRPr="001B1A3C">
        <w:t xml:space="preserve"> without delay. </w:t>
      </w:r>
    </w:p>
    <w:p w14:paraId="66AD55F4" w14:textId="1AB6CFD3" w:rsidR="003D7076" w:rsidRPr="001B1A3C" w:rsidRDefault="00804E3B" w:rsidP="002F4B69">
      <w:pPr>
        <w:pStyle w:val="ListParagraph"/>
        <w:tabs>
          <w:tab w:val="left" w:pos="0"/>
        </w:tabs>
        <w:spacing w:before="240"/>
        <w:ind w:left="0"/>
        <w:contextualSpacing w:val="0"/>
        <w:rPr>
          <w:rFonts w:ascii="TH SarabunPSK" w:hAnsi="TH SarabunPSK" w:cs="TH SarabunPSK"/>
          <w:sz w:val="32"/>
          <w:szCs w:val="32"/>
          <w:cs/>
        </w:rPr>
      </w:pPr>
      <w:r w:rsidRPr="001B1A3C">
        <w:rPr>
          <w:rFonts w:ascii="TH SarabunPSK" w:hAnsi="TH SarabunPSK" w:cs="TH SarabunPSK"/>
          <w:sz w:val="32"/>
          <w:szCs w:val="32"/>
          <w:u w:val="single"/>
        </w:rPr>
        <w:t xml:space="preserve">Part </w:t>
      </w:r>
      <w:r w:rsidR="003D7076" w:rsidRPr="001B1A3C">
        <w:rPr>
          <w:rFonts w:ascii="TH SarabunPSK" w:hAnsi="TH SarabunPSK" w:cs="TH SarabunPSK"/>
          <w:sz w:val="32"/>
          <w:szCs w:val="32"/>
          <w:u w:val="single"/>
          <w:cs/>
        </w:rPr>
        <w:t>2</w:t>
      </w:r>
      <w:r w:rsidRPr="001B1A3C">
        <w:rPr>
          <w:rFonts w:ascii="TH SarabunPSK" w:hAnsi="TH SarabunPSK" w:cs="TH SarabunPSK"/>
          <w:sz w:val="32"/>
          <w:szCs w:val="32"/>
        </w:rPr>
        <w:t>:</w:t>
      </w:r>
      <w:r w:rsidR="003D7076" w:rsidRPr="001B1A3C">
        <w:rPr>
          <w:rFonts w:ascii="TH SarabunPSK" w:hAnsi="TH SarabunPSK" w:cs="TH SarabunPSK"/>
          <w:sz w:val="32"/>
          <w:szCs w:val="32"/>
          <w:cs/>
        </w:rPr>
        <w:t xml:space="preserve"> </w:t>
      </w:r>
      <w:r w:rsidRPr="001B1A3C">
        <w:rPr>
          <w:rFonts w:ascii="TH SarabunPSK" w:hAnsi="TH SarabunPSK" w:cs="TH SarabunPSK"/>
          <w:sz w:val="32"/>
          <w:szCs w:val="32"/>
        </w:rPr>
        <w:t xml:space="preserve">Organizational IT Risk Governance </w:t>
      </w:r>
    </w:p>
    <w:p w14:paraId="4672BF5F" w14:textId="55BCB63B" w:rsidR="00E978C3" w:rsidRPr="001B1A3C" w:rsidRDefault="003D7076" w:rsidP="004F1BE2">
      <w:pPr>
        <w:pStyle w:val="ListParagraph"/>
        <w:tabs>
          <w:tab w:val="left" w:pos="0"/>
        </w:tabs>
        <w:ind w:left="0" w:right="-360"/>
        <w:contextualSpacing w:val="0"/>
        <w:rPr>
          <w:rFonts w:ascii="TH SarabunPSK" w:hAnsi="TH SarabunPSK" w:cs="TH SarabunPSK"/>
          <w:sz w:val="32"/>
          <w:szCs w:val="32"/>
        </w:rPr>
      </w:pPr>
      <w:r w:rsidRPr="001B1A3C">
        <w:rPr>
          <w:rFonts w:ascii="TH SarabunPSK" w:hAnsi="TH SarabunPSK" w:cs="TH SarabunPSK"/>
          <w:sz w:val="32"/>
          <w:szCs w:val="32"/>
          <w:cs/>
        </w:rPr>
        <w:t xml:space="preserve"> </w:t>
      </w:r>
      <w:r w:rsidRPr="001B1A3C">
        <w:rPr>
          <w:rFonts w:ascii="TH SarabunPSK" w:hAnsi="TH SarabunPSK" w:cs="TH SarabunPSK"/>
          <w:sz w:val="32"/>
          <w:szCs w:val="32"/>
          <w:cs/>
        </w:rPr>
        <w:tab/>
      </w:r>
      <w:r w:rsidR="004614BB" w:rsidRPr="001B1A3C">
        <w:rPr>
          <w:rFonts w:ascii="TH SarabunPSK" w:hAnsi="TH SarabunPSK" w:cs="TH SarabunPSK" w:hint="cs"/>
          <w:sz w:val="32"/>
          <w:szCs w:val="32"/>
          <w:cs/>
        </w:rPr>
        <w:t xml:space="preserve">2.1  </w:t>
      </w:r>
      <w:r w:rsidR="00804E3B" w:rsidRPr="001B1A3C">
        <w:rPr>
          <w:rFonts w:ascii="TH SarabunPSK" w:hAnsi="TH SarabunPSK" w:cs="TH SarabunPSK"/>
          <w:sz w:val="32"/>
          <w:szCs w:val="32"/>
        </w:rPr>
        <w:t xml:space="preserve">A business operator shall establish an IT governance framework that shall at least contain the following features: </w:t>
      </w:r>
      <w:r w:rsidR="008170C6" w:rsidRPr="001B1A3C">
        <w:rPr>
          <w:rFonts w:ascii="TH SarabunPSK" w:hAnsi="TH SarabunPSK" w:cs="TH SarabunPSK"/>
          <w:sz w:val="32"/>
          <w:szCs w:val="32"/>
          <w:cs/>
        </w:rPr>
        <w:br/>
      </w:r>
      <w:r w:rsidR="008170C6" w:rsidRPr="001B1A3C">
        <w:rPr>
          <w:rFonts w:ascii="TH SarabunPSK" w:hAnsi="TH SarabunPSK" w:cs="TH SarabunPSK" w:hint="cs"/>
          <w:sz w:val="32"/>
          <w:szCs w:val="32"/>
          <w:cs/>
        </w:rPr>
        <w:t xml:space="preserve"> </w:t>
      </w:r>
      <w:r w:rsidR="008170C6" w:rsidRPr="001B1A3C">
        <w:rPr>
          <w:rFonts w:ascii="TH SarabunPSK" w:hAnsi="TH SarabunPSK" w:cs="TH SarabunPSK"/>
          <w:sz w:val="32"/>
          <w:szCs w:val="32"/>
          <w:cs/>
        </w:rPr>
        <w:tab/>
      </w:r>
      <w:r w:rsidR="004614BB" w:rsidRPr="001B1A3C">
        <w:rPr>
          <w:rFonts w:ascii="TH SarabunPSK" w:hAnsi="TH SarabunPSK" w:cs="TH SarabunPSK" w:hint="cs"/>
          <w:sz w:val="32"/>
          <w:szCs w:val="32"/>
          <w:cs/>
        </w:rPr>
        <w:t xml:space="preserve">      2.1</w:t>
      </w:r>
      <w:r w:rsidR="008170C6" w:rsidRPr="001B1A3C">
        <w:rPr>
          <w:rFonts w:ascii="TH SarabunPSK" w:hAnsi="TH SarabunPSK" w:cs="TH SarabunPSK" w:hint="cs"/>
          <w:sz w:val="32"/>
          <w:szCs w:val="32"/>
          <w:cs/>
        </w:rPr>
        <w:t xml:space="preserve">.1  </w:t>
      </w:r>
      <w:r w:rsidR="00804E3B" w:rsidRPr="001B1A3C">
        <w:rPr>
          <w:rFonts w:ascii="TH SarabunPSK" w:hAnsi="TH SarabunPSK" w:cs="TH SarabunPSK"/>
          <w:sz w:val="32"/>
          <w:szCs w:val="32"/>
        </w:rPr>
        <w:t xml:space="preserve">enabling independent checks and balances; and </w:t>
      </w:r>
      <w:r w:rsidRPr="001B1A3C">
        <w:rPr>
          <w:rFonts w:ascii="TH SarabunPSK" w:hAnsi="TH SarabunPSK" w:cs="TH SarabunPSK"/>
          <w:sz w:val="32"/>
          <w:szCs w:val="32"/>
          <w:cs/>
        </w:rPr>
        <w:t xml:space="preserve"> </w:t>
      </w:r>
      <w:r w:rsidR="008170C6" w:rsidRPr="001B1A3C">
        <w:rPr>
          <w:rFonts w:ascii="TH SarabunPSK" w:hAnsi="TH SarabunPSK" w:cs="TH SarabunPSK"/>
          <w:sz w:val="32"/>
          <w:szCs w:val="32"/>
          <w:cs/>
        </w:rPr>
        <w:br/>
      </w:r>
      <w:r w:rsidR="008170C6" w:rsidRPr="001B1A3C">
        <w:rPr>
          <w:rFonts w:ascii="TH SarabunPSK" w:hAnsi="TH SarabunPSK" w:cs="TH SarabunPSK" w:hint="cs"/>
          <w:sz w:val="32"/>
          <w:szCs w:val="32"/>
          <w:cs/>
        </w:rPr>
        <w:t xml:space="preserve"> </w:t>
      </w:r>
      <w:r w:rsidR="008170C6" w:rsidRPr="001B1A3C">
        <w:rPr>
          <w:rFonts w:ascii="TH SarabunPSK" w:hAnsi="TH SarabunPSK" w:cs="TH SarabunPSK"/>
          <w:sz w:val="32"/>
          <w:szCs w:val="32"/>
          <w:cs/>
        </w:rPr>
        <w:tab/>
      </w:r>
      <w:r w:rsidR="004614BB" w:rsidRPr="001B1A3C">
        <w:rPr>
          <w:rFonts w:ascii="TH SarabunPSK" w:hAnsi="TH SarabunPSK" w:cs="TH SarabunPSK" w:hint="cs"/>
          <w:sz w:val="32"/>
          <w:szCs w:val="32"/>
          <w:cs/>
        </w:rPr>
        <w:t xml:space="preserve">      2.1</w:t>
      </w:r>
      <w:r w:rsidR="008170C6" w:rsidRPr="001B1A3C">
        <w:rPr>
          <w:rFonts w:ascii="TH SarabunPSK" w:hAnsi="TH SarabunPSK" w:cs="TH SarabunPSK" w:hint="cs"/>
          <w:sz w:val="32"/>
          <w:szCs w:val="32"/>
          <w:cs/>
        </w:rPr>
        <w:t xml:space="preserve">.2  </w:t>
      </w:r>
      <w:r w:rsidR="00804E3B" w:rsidRPr="001B1A3C">
        <w:rPr>
          <w:rFonts w:ascii="TH SarabunPSK" w:hAnsi="TH SarabunPSK" w:cs="TH SarabunPSK"/>
          <w:sz w:val="32"/>
          <w:szCs w:val="32"/>
        </w:rPr>
        <w:t xml:space="preserve">being in line with the three Lines of Defense (3LoDs) concept, under which IT-related duties are clearly segregated as follows: </w:t>
      </w:r>
    </w:p>
    <w:p w14:paraId="7ED9C719" w14:textId="7950AEC2" w:rsidR="00E667A4" w:rsidRPr="001B1A3C" w:rsidRDefault="007E01B0" w:rsidP="00D237B8">
      <w:pPr>
        <w:pStyle w:val="ListParagraph"/>
        <w:tabs>
          <w:tab w:val="left" w:pos="0"/>
        </w:tabs>
        <w:ind w:left="0" w:right="-180"/>
        <w:contextualSpacing w:val="0"/>
        <w:rPr>
          <w:rFonts w:ascii="TH SarabunPSK" w:hAnsi="TH SarabunPSK" w:cs="TH SarabunPSK"/>
          <w:sz w:val="32"/>
          <w:szCs w:val="32"/>
        </w:rPr>
      </w:pPr>
      <w:r w:rsidRPr="001B1A3C">
        <w:rPr>
          <w:rFonts w:ascii="TH SarabunPSK" w:hAnsi="TH SarabunPSK" w:cs="TH SarabunPSK"/>
          <w:sz w:val="32"/>
          <w:szCs w:val="32"/>
          <w:cs/>
        </w:rPr>
        <w:t xml:space="preserve"> </w:t>
      </w:r>
      <w:r w:rsidRPr="001B1A3C">
        <w:rPr>
          <w:rFonts w:ascii="TH SarabunPSK" w:hAnsi="TH SarabunPSK" w:cs="TH SarabunPSK"/>
          <w:sz w:val="32"/>
          <w:szCs w:val="32"/>
          <w:cs/>
        </w:rPr>
        <w:tab/>
      </w:r>
      <w:r w:rsidR="008170C6" w:rsidRPr="001B1A3C">
        <w:rPr>
          <w:rFonts w:ascii="TH SarabunPSK" w:hAnsi="TH SarabunPSK" w:cs="TH SarabunPSK" w:hint="cs"/>
          <w:sz w:val="32"/>
          <w:szCs w:val="32"/>
          <w:cs/>
        </w:rPr>
        <w:t xml:space="preserve">      </w:t>
      </w:r>
      <w:r w:rsidR="004614BB" w:rsidRPr="001B1A3C">
        <w:rPr>
          <w:rFonts w:ascii="TH SarabunPSK" w:hAnsi="TH SarabunPSK" w:cs="TH SarabunPSK" w:hint="cs"/>
          <w:sz w:val="32"/>
          <w:szCs w:val="32"/>
          <w:cs/>
        </w:rPr>
        <w:t xml:space="preserve">         </w:t>
      </w:r>
      <w:r w:rsidR="00804E3B" w:rsidRPr="001B1A3C">
        <w:rPr>
          <w:rFonts w:ascii="TH SarabunPSK" w:hAnsi="TH SarabunPSK" w:cs="TH SarabunPSK"/>
          <w:sz w:val="32"/>
          <w:szCs w:val="32"/>
          <w:u w:val="single"/>
        </w:rPr>
        <w:t>1</w:t>
      </w:r>
      <w:r w:rsidR="00804E3B" w:rsidRPr="001B1A3C">
        <w:rPr>
          <w:rFonts w:ascii="TH SarabunPSK" w:hAnsi="TH SarabunPSK" w:cs="TH SarabunPSK"/>
          <w:sz w:val="32"/>
          <w:szCs w:val="32"/>
          <w:u w:val="single"/>
          <w:vertAlign w:val="superscript"/>
        </w:rPr>
        <w:t>st</w:t>
      </w:r>
      <w:r w:rsidR="00804E3B" w:rsidRPr="001B1A3C">
        <w:rPr>
          <w:rFonts w:ascii="TH SarabunPSK" w:hAnsi="TH SarabunPSK" w:cs="TH SarabunPSK"/>
          <w:sz w:val="32"/>
          <w:szCs w:val="32"/>
          <w:u w:val="single"/>
        </w:rPr>
        <w:t xml:space="preserve"> Line of Defense:</w:t>
      </w:r>
      <w:r w:rsidR="00804E3B" w:rsidRPr="001B1A3C">
        <w:rPr>
          <w:rFonts w:ascii="TH SarabunPSK" w:hAnsi="TH SarabunPSK" w:cs="TH SarabunPSK"/>
          <w:sz w:val="32"/>
          <w:szCs w:val="32"/>
        </w:rPr>
        <w:t xml:space="preserve"> Operations </w:t>
      </w:r>
    </w:p>
    <w:p w14:paraId="45DD500A" w14:textId="1F752E5B" w:rsidR="00D31C89" w:rsidRPr="001B1A3C" w:rsidRDefault="00E667A4" w:rsidP="00D31C89">
      <w:pPr>
        <w:pStyle w:val="ListParagraph"/>
        <w:tabs>
          <w:tab w:val="left" w:pos="0"/>
        </w:tabs>
        <w:ind w:left="0" w:right="-180"/>
        <w:contextualSpacing w:val="0"/>
        <w:rPr>
          <w:rFonts w:ascii="TH SarabunPSK" w:hAnsi="TH SarabunPSK" w:cs="TH SarabunPSK"/>
          <w:sz w:val="32"/>
          <w:szCs w:val="32"/>
        </w:rPr>
      </w:pPr>
      <w:r w:rsidRPr="001B1A3C">
        <w:rPr>
          <w:rFonts w:ascii="TH SarabunPSK" w:hAnsi="TH SarabunPSK" w:cs="TH SarabunPSK" w:hint="cs"/>
          <w:sz w:val="32"/>
          <w:szCs w:val="32"/>
          <w:cs/>
        </w:rPr>
        <w:t xml:space="preserve">          </w:t>
      </w:r>
      <w:r w:rsidR="008170C6" w:rsidRPr="001B1A3C">
        <w:rPr>
          <w:rFonts w:ascii="TH SarabunPSK" w:hAnsi="TH SarabunPSK" w:cs="TH SarabunPSK" w:hint="cs"/>
          <w:sz w:val="32"/>
          <w:szCs w:val="32"/>
          <w:cs/>
        </w:rPr>
        <w:t xml:space="preserve">      </w:t>
      </w:r>
      <w:r w:rsidR="004614BB" w:rsidRPr="001B1A3C">
        <w:rPr>
          <w:rFonts w:ascii="TH SarabunPSK" w:hAnsi="TH SarabunPSK" w:cs="TH SarabunPSK" w:hint="cs"/>
          <w:sz w:val="32"/>
          <w:szCs w:val="32"/>
          <w:cs/>
        </w:rPr>
        <w:t xml:space="preserve">         </w:t>
      </w:r>
      <w:r w:rsidR="00804E3B" w:rsidRPr="001B1A3C">
        <w:rPr>
          <w:rFonts w:ascii="TH SarabunPSK" w:hAnsi="TH SarabunPSK" w:cs="TH SarabunPSK"/>
          <w:sz w:val="32"/>
          <w:szCs w:val="32"/>
          <w:u w:val="single"/>
        </w:rPr>
        <w:t>2</w:t>
      </w:r>
      <w:r w:rsidR="00804E3B" w:rsidRPr="001B1A3C">
        <w:rPr>
          <w:rFonts w:ascii="TH SarabunPSK" w:hAnsi="TH SarabunPSK" w:cs="TH SarabunPSK"/>
          <w:sz w:val="32"/>
          <w:szCs w:val="32"/>
          <w:u w:val="single"/>
          <w:vertAlign w:val="superscript"/>
        </w:rPr>
        <w:t>nd</w:t>
      </w:r>
      <w:r w:rsidR="00804E3B" w:rsidRPr="001B1A3C">
        <w:rPr>
          <w:rFonts w:ascii="TH SarabunPSK" w:hAnsi="TH SarabunPSK" w:cs="TH SarabunPSK"/>
          <w:sz w:val="32"/>
          <w:szCs w:val="32"/>
          <w:u w:val="single"/>
        </w:rPr>
        <w:t xml:space="preserve"> Line of Defense</w:t>
      </w:r>
      <w:r w:rsidR="00707830" w:rsidRPr="001B1A3C">
        <w:rPr>
          <w:rFonts w:ascii="TH SarabunPSK" w:hAnsi="TH SarabunPSK" w:cs="TH SarabunPSK"/>
          <w:sz w:val="32"/>
          <w:szCs w:val="32"/>
        </w:rPr>
        <w:t xml:space="preserve">: </w:t>
      </w:r>
      <w:r w:rsidR="00804E3B" w:rsidRPr="001B1A3C">
        <w:rPr>
          <w:rFonts w:ascii="TH SarabunPSK" w:hAnsi="TH SarabunPSK" w:cs="TH SarabunPSK"/>
          <w:sz w:val="32"/>
          <w:szCs w:val="32"/>
        </w:rPr>
        <w:t xml:space="preserve">Risk management and compliance with applicable laws and regulations; and </w:t>
      </w:r>
      <w:r w:rsidR="00F71BC4" w:rsidRPr="001B1A3C">
        <w:rPr>
          <w:rFonts w:ascii="TH SarabunPSK" w:hAnsi="TH SarabunPSK" w:cs="TH SarabunPSK"/>
          <w:sz w:val="32"/>
          <w:szCs w:val="32"/>
        </w:rPr>
        <w:t xml:space="preserve"> </w:t>
      </w:r>
      <w:r w:rsidR="00AA4502" w:rsidRPr="001B1A3C">
        <w:rPr>
          <w:rFonts w:ascii="TH SarabunPSK" w:hAnsi="TH SarabunPSK" w:cs="TH SarabunPSK" w:hint="cs"/>
          <w:sz w:val="32"/>
          <w:szCs w:val="32"/>
          <w:cs/>
        </w:rPr>
        <w:t xml:space="preserve"> </w:t>
      </w:r>
      <w:r w:rsidR="007E01B0" w:rsidRPr="001B1A3C">
        <w:rPr>
          <w:rFonts w:ascii="TH SarabunPSK" w:hAnsi="TH SarabunPSK" w:cs="TH SarabunPSK"/>
          <w:sz w:val="32"/>
          <w:szCs w:val="32"/>
          <w:cs/>
        </w:rPr>
        <w:br/>
        <w:t xml:space="preserve"> </w:t>
      </w:r>
      <w:r w:rsidR="007E01B0" w:rsidRPr="001B1A3C">
        <w:rPr>
          <w:rFonts w:ascii="TH SarabunPSK" w:hAnsi="TH SarabunPSK" w:cs="TH SarabunPSK"/>
          <w:sz w:val="32"/>
          <w:szCs w:val="32"/>
          <w:cs/>
        </w:rPr>
        <w:tab/>
      </w:r>
      <w:r w:rsidR="008170C6" w:rsidRPr="001B1A3C">
        <w:rPr>
          <w:rFonts w:ascii="TH SarabunPSK" w:hAnsi="TH SarabunPSK" w:cs="TH SarabunPSK" w:hint="cs"/>
          <w:sz w:val="32"/>
          <w:szCs w:val="32"/>
          <w:cs/>
        </w:rPr>
        <w:t xml:space="preserve">      </w:t>
      </w:r>
      <w:r w:rsidR="004614BB" w:rsidRPr="001B1A3C">
        <w:rPr>
          <w:rFonts w:ascii="TH SarabunPSK" w:hAnsi="TH SarabunPSK" w:cs="TH SarabunPSK" w:hint="cs"/>
          <w:sz w:val="32"/>
          <w:szCs w:val="32"/>
          <w:cs/>
        </w:rPr>
        <w:t xml:space="preserve">         </w:t>
      </w:r>
      <w:r w:rsidR="00804E3B" w:rsidRPr="001B1A3C">
        <w:rPr>
          <w:rFonts w:ascii="TH SarabunPSK" w:hAnsi="TH SarabunPSK" w:cs="TH SarabunPSK"/>
          <w:sz w:val="32"/>
          <w:szCs w:val="32"/>
          <w:u w:val="single"/>
        </w:rPr>
        <w:t>3</w:t>
      </w:r>
      <w:r w:rsidR="001840A5" w:rsidRPr="001B1A3C">
        <w:rPr>
          <w:rFonts w:ascii="TH SarabunPSK" w:hAnsi="TH SarabunPSK" w:cs="TH SarabunPSK"/>
          <w:sz w:val="32"/>
          <w:szCs w:val="32"/>
          <w:u w:val="single"/>
          <w:vertAlign w:val="superscript"/>
        </w:rPr>
        <w:t>rd</w:t>
      </w:r>
      <w:r w:rsidR="001840A5" w:rsidRPr="001B1A3C">
        <w:rPr>
          <w:rFonts w:ascii="TH SarabunPSK" w:hAnsi="TH SarabunPSK" w:cs="TH SarabunPSK"/>
          <w:sz w:val="32"/>
          <w:szCs w:val="32"/>
          <w:u w:val="single"/>
        </w:rPr>
        <w:t xml:space="preserve"> </w:t>
      </w:r>
      <w:r w:rsidR="00804E3B" w:rsidRPr="001B1A3C">
        <w:rPr>
          <w:rFonts w:ascii="TH SarabunPSK" w:hAnsi="TH SarabunPSK" w:cs="TH SarabunPSK"/>
          <w:sz w:val="32"/>
          <w:szCs w:val="32"/>
          <w:u w:val="single"/>
        </w:rPr>
        <w:t>L</w:t>
      </w:r>
      <w:r w:rsidR="00707830" w:rsidRPr="001B1A3C">
        <w:rPr>
          <w:rFonts w:ascii="TH SarabunPSK" w:hAnsi="TH SarabunPSK" w:cs="TH SarabunPSK"/>
          <w:sz w:val="32"/>
          <w:szCs w:val="32"/>
          <w:u w:val="single"/>
        </w:rPr>
        <w:t xml:space="preserve">ine of </w:t>
      </w:r>
      <w:r w:rsidR="00804E3B" w:rsidRPr="001B1A3C">
        <w:rPr>
          <w:rFonts w:ascii="TH SarabunPSK" w:hAnsi="TH SarabunPSK" w:cs="TH SarabunPSK"/>
          <w:sz w:val="32"/>
          <w:szCs w:val="32"/>
          <w:u w:val="single"/>
        </w:rPr>
        <w:t>D</w:t>
      </w:r>
      <w:r w:rsidR="00707830" w:rsidRPr="001B1A3C">
        <w:rPr>
          <w:rFonts w:ascii="TH SarabunPSK" w:hAnsi="TH SarabunPSK" w:cs="TH SarabunPSK"/>
          <w:sz w:val="32"/>
          <w:szCs w:val="32"/>
          <w:u w:val="single"/>
        </w:rPr>
        <w:t>efense</w:t>
      </w:r>
      <w:r w:rsidR="00707830" w:rsidRPr="001B1A3C">
        <w:rPr>
          <w:rFonts w:ascii="TH SarabunPSK" w:hAnsi="TH SarabunPSK" w:cs="TH SarabunPSK"/>
          <w:sz w:val="32"/>
          <w:szCs w:val="32"/>
        </w:rPr>
        <w:t>:</w:t>
      </w:r>
      <w:r w:rsidR="00707830" w:rsidRPr="001B1A3C">
        <w:rPr>
          <w:rFonts w:ascii="TH SarabunPSK" w:hAnsi="TH SarabunPSK" w:cs="TH SarabunPSK" w:hint="cs"/>
          <w:sz w:val="32"/>
          <w:szCs w:val="32"/>
          <w:cs/>
        </w:rPr>
        <w:t xml:space="preserve"> </w:t>
      </w:r>
      <w:r w:rsidR="00804E3B" w:rsidRPr="001B1A3C">
        <w:rPr>
          <w:rFonts w:ascii="TH SarabunPSK" w:hAnsi="TH SarabunPSK" w:cs="TH SarabunPSK"/>
          <w:sz w:val="32"/>
          <w:szCs w:val="32"/>
        </w:rPr>
        <w:t xml:space="preserve">Audit </w:t>
      </w:r>
      <w:r w:rsidR="00AA4502" w:rsidRPr="001B1A3C">
        <w:rPr>
          <w:rFonts w:ascii="TH SarabunPSK" w:hAnsi="TH SarabunPSK" w:cs="TH SarabunPSK" w:hint="cs"/>
          <w:sz w:val="32"/>
          <w:szCs w:val="32"/>
          <w:cs/>
        </w:rPr>
        <w:t xml:space="preserve"> </w:t>
      </w:r>
    </w:p>
    <w:p w14:paraId="46407254" w14:textId="0197B2AF" w:rsidR="007E01B0" w:rsidRPr="001B1A3C" w:rsidRDefault="004614BB" w:rsidP="00484AD6">
      <w:pPr>
        <w:pStyle w:val="ListParagraph"/>
        <w:tabs>
          <w:tab w:val="left" w:pos="0"/>
        </w:tabs>
        <w:ind w:left="0" w:right="-180"/>
        <w:contextualSpacing w:val="0"/>
        <w:rPr>
          <w:sz w:val="32"/>
          <w:szCs w:val="32"/>
        </w:rPr>
      </w:pPr>
      <w:r w:rsidRPr="001B1A3C">
        <w:rPr>
          <w:rFonts w:ascii="TH SarabunPSK" w:hAnsi="TH SarabunPSK" w:cs="TH SarabunPSK" w:hint="cs"/>
          <w:sz w:val="32"/>
          <w:szCs w:val="32"/>
          <w:cs/>
        </w:rPr>
        <w:t xml:space="preserve"> </w:t>
      </w:r>
      <w:r w:rsidRPr="001B1A3C">
        <w:rPr>
          <w:rFonts w:ascii="TH SarabunPSK" w:hAnsi="TH SarabunPSK" w:cs="TH SarabunPSK"/>
          <w:sz w:val="32"/>
          <w:szCs w:val="32"/>
          <w:cs/>
        </w:rPr>
        <w:tab/>
      </w:r>
      <w:r w:rsidRPr="001B1A3C">
        <w:rPr>
          <w:rFonts w:ascii="TH SarabunPSK" w:hAnsi="TH SarabunPSK" w:cs="TH SarabunPSK" w:hint="cs"/>
          <w:sz w:val="32"/>
          <w:szCs w:val="32"/>
          <w:cs/>
        </w:rPr>
        <w:t xml:space="preserve">2.2 </w:t>
      </w:r>
      <w:r w:rsidR="00D40530" w:rsidRPr="001B1A3C">
        <w:rPr>
          <w:rFonts w:ascii="TH SarabunPSK" w:hAnsi="TH SarabunPSK" w:cs="TH SarabunPSK"/>
          <w:sz w:val="32"/>
          <w:szCs w:val="32"/>
        </w:rPr>
        <w:t xml:space="preserve"> A business operator shall establish policies on IT risk supervision in writing which shall be approved by its board of directors or the committee assigned by the board of directors, as follows:</w:t>
      </w:r>
    </w:p>
    <w:tbl>
      <w:tblPr>
        <w:tblStyle w:val="TableGrid"/>
        <w:tblW w:w="10260" w:type="dxa"/>
        <w:tblInd w:w="-365" w:type="dxa"/>
        <w:tblLook w:val="04A0" w:firstRow="1" w:lastRow="0" w:firstColumn="1" w:lastColumn="0" w:noHBand="0" w:noVBand="1"/>
      </w:tblPr>
      <w:tblGrid>
        <w:gridCol w:w="4675"/>
        <w:gridCol w:w="5585"/>
      </w:tblGrid>
      <w:tr w:rsidR="005109E3" w:rsidRPr="001B1A3C" w14:paraId="771FA6B2" w14:textId="77777777" w:rsidTr="00A22EE6">
        <w:trPr>
          <w:tblHeader/>
        </w:trPr>
        <w:tc>
          <w:tcPr>
            <w:tcW w:w="4675" w:type="dxa"/>
            <w:shd w:val="clear" w:color="auto" w:fill="D9D9D9" w:themeFill="background1" w:themeFillShade="D9"/>
          </w:tcPr>
          <w:p w14:paraId="3474DB65" w14:textId="38F3178F" w:rsidR="005109E3" w:rsidRPr="001B1A3C" w:rsidRDefault="00FA02E2" w:rsidP="005109E3">
            <w:pPr>
              <w:tabs>
                <w:tab w:val="left" w:pos="0"/>
              </w:tabs>
              <w:jc w:val="center"/>
            </w:pPr>
            <w:r w:rsidRPr="001B1A3C">
              <w:t>Policies</w:t>
            </w:r>
          </w:p>
        </w:tc>
        <w:tc>
          <w:tcPr>
            <w:tcW w:w="5585" w:type="dxa"/>
            <w:shd w:val="clear" w:color="auto" w:fill="D9D9D9" w:themeFill="background1" w:themeFillShade="D9"/>
          </w:tcPr>
          <w:p w14:paraId="02119221" w14:textId="20386100" w:rsidR="005109E3" w:rsidRPr="001B1A3C" w:rsidRDefault="009F442E" w:rsidP="005109E3">
            <w:pPr>
              <w:tabs>
                <w:tab w:val="left" w:pos="0"/>
              </w:tabs>
              <w:jc w:val="center"/>
            </w:pPr>
            <w:r w:rsidRPr="001B1A3C">
              <w:t xml:space="preserve">Control factors </w:t>
            </w:r>
          </w:p>
        </w:tc>
      </w:tr>
      <w:tr w:rsidR="005109E3" w:rsidRPr="001B1A3C" w14:paraId="75D0EF55" w14:textId="77777777" w:rsidTr="00A22EE6">
        <w:tc>
          <w:tcPr>
            <w:tcW w:w="4675" w:type="dxa"/>
          </w:tcPr>
          <w:p w14:paraId="3BB54F14" w14:textId="35A07C52" w:rsidR="005109E3" w:rsidRPr="001B1A3C" w:rsidRDefault="00D65488" w:rsidP="005109E3">
            <w:pPr>
              <w:pStyle w:val="ListParagraph"/>
              <w:tabs>
                <w:tab w:val="left" w:pos="0"/>
              </w:tabs>
              <w:ind w:left="0"/>
              <w:contextualSpacing w:val="0"/>
              <w:rPr>
                <w:rFonts w:ascii="TH SarabunPSK" w:hAnsi="TH SarabunPSK" w:cs="TH SarabunPSK"/>
                <w:sz w:val="32"/>
                <w:szCs w:val="32"/>
                <w:cs/>
              </w:rPr>
            </w:pPr>
            <w:r w:rsidRPr="001B1A3C">
              <w:rPr>
                <w:rFonts w:ascii="TH SarabunPSK" w:hAnsi="TH SarabunPSK" w:cs="TH SarabunPSK"/>
                <w:sz w:val="32"/>
                <w:szCs w:val="32"/>
              </w:rPr>
              <w:t>2.2</w:t>
            </w:r>
            <w:r w:rsidR="00FC0AF3" w:rsidRPr="001B1A3C">
              <w:rPr>
                <w:rFonts w:ascii="TH SarabunPSK" w:hAnsi="TH SarabunPSK" w:cs="TH SarabunPSK" w:hint="cs"/>
                <w:sz w:val="32"/>
                <w:szCs w:val="32"/>
                <w:cs/>
              </w:rPr>
              <w:t>.1</w:t>
            </w:r>
            <w:r w:rsidR="005109E3" w:rsidRPr="001B1A3C">
              <w:rPr>
                <w:rFonts w:ascii="TH SarabunPSK" w:hAnsi="TH SarabunPSK" w:cs="TH SarabunPSK" w:hint="cs"/>
                <w:sz w:val="32"/>
                <w:szCs w:val="32"/>
                <w:cs/>
              </w:rPr>
              <w:t xml:space="preserve">  </w:t>
            </w:r>
            <w:r w:rsidR="00AD5F1F" w:rsidRPr="001B1A3C">
              <w:rPr>
                <w:rFonts w:ascii="TH SarabunPSK" w:hAnsi="TH SarabunPSK" w:cs="TH SarabunPSK"/>
                <w:sz w:val="32"/>
                <w:szCs w:val="32"/>
                <w:u w:val="single"/>
              </w:rPr>
              <w:t>IT risk management policy</w:t>
            </w:r>
            <w:r w:rsidR="005109E3" w:rsidRPr="001B1A3C">
              <w:rPr>
                <w:rFonts w:ascii="TH SarabunPSK" w:hAnsi="TH SarabunPSK" w:cs="TH SarabunPSK" w:hint="cs"/>
                <w:sz w:val="32"/>
                <w:szCs w:val="32"/>
                <w:cs/>
              </w:rPr>
              <w:t xml:space="preserve"> </w:t>
            </w:r>
          </w:p>
        </w:tc>
        <w:tc>
          <w:tcPr>
            <w:tcW w:w="5585" w:type="dxa"/>
          </w:tcPr>
          <w:p w14:paraId="35A77F71" w14:textId="7AE12D0B" w:rsidR="005109E3" w:rsidRPr="001B1A3C" w:rsidRDefault="00665BF1" w:rsidP="005109E3">
            <w:pPr>
              <w:pStyle w:val="ListParagraph"/>
              <w:tabs>
                <w:tab w:val="left" w:pos="0"/>
              </w:tabs>
              <w:ind w:left="0"/>
              <w:contextualSpacing w:val="0"/>
              <w:rPr>
                <w:rFonts w:ascii="TH SarabunPSK" w:hAnsi="TH SarabunPSK" w:cs="TH SarabunPSK"/>
                <w:sz w:val="32"/>
                <w:szCs w:val="32"/>
              </w:rPr>
            </w:pPr>
            <w:r w:rsidRPr="001B1A3C">
              <w:rPr>
                <w:rFonts w:ascii="TH SarabunPSK" w:hAnsi="TH SarabunPSK" w:cs="TH SarabunPSK" w:hint="cs"/>
                <w:sz w:val="32"/>
                <w:szCs w:val="32"/>
                <w:cs/>
              </w:rPr>
              <w:t xml:space="preserve">(1)  </w:t>
            </w:r>
            <w:r w:rsidR="009F358D" w:rsidRPr="001B1A3C">
              <w:rPr>
                <w:rFonts w:ascii="TH SarabunPSK" w:hAnsi="TH SarabunPSK" w:cs="TH SarabunPSK"/>
                <w:sz w:val="32"/>
                <w:szCs w:val="32"/>
              </w:rPr>
              <w:t xml:space="preserve">Roles and responsibilities of related persons in IT risk management; </w:t>
            </w:r>
            <w:r w:rsidR="00B45A08" w:rsidRPr="001B1A3C">
              <w:rPr>
                <w:rFonts w:ascii="TH SarabunPSK" w:hAnsi="TH SarabunPSK" w:cs="TH SarabunPSK"/>
                <w:sz w:val="32"/>
                <w:szCs w:val="32"/>
              </w:rPr>
              <w:t xml:space="preserve"> </w:t>
            </w:r>
            <w:r w:rsidR="00FD648A" w:rsidRPr="001B1A3C">
              <w:rPr>
                <w:rFonts w:ascii="TH SarabunPSK" w:hAnsi="TH SarabunPSK" w:cs="TH SarabunPSK"/>
                <w:sz w:val="32"/>
                <w:szCs w:val="32"/>
                <w:cs/>
              </w:rPr>
              <w:br/>
            </w:r>
            <w:r w:rsidR="00FD648A" w:rsidRPr="001B1A3C">
              <w:rPr>
                <w:rFonts w:ascii="TH SarabunPSK" w:hAnsi="TH SarabunPSK" w:cs="TH SarabunPSK" w:hint="cs"/>
                <w:sz w:val="32"/>
                <w:szCs w:val="32"/>
                <w:cs/>
              </w:rPr>
              <w:t xml:space="preserve">(2)  </w:t>
            </w:r>
            <w:r w:rsidR="009F358D" w:rsidRPr="001B1A3C">
              <w:rPr>
                <w:rFonts w:ascii="TH SarabunPSK" w:hAnsi="TH SarabunPSK" w:cs="TH SarabunPSK"/>
                <w:sz w:val="32"/>
                <w:szCs w:val="32"/>
              </w:rPr>
              <w:t xml:space="preserve">Establishment of IT risk management process </w:t>
            </w:r>
            <w:r w:rsidR="00DA6395" w:rsidRPr="001B1A3C">
              <w:rPr>
                <w:rFonts w:ascii="TH SarabunPSK" w:hAnsi="TH SarabunPSK" w:cs="TH SarabunPSK"/>
                <w:sz w:val="32"/>
                <w:szCs w:val="32"/>
              </w:rPr>
              <w:t xml:space="preserve">to ensure the risk will be in line with the organization’s risk appetite. </w:t>
            </w:r>
          </w:p>
        </w:tc>
      </w:tr>
      <w:tr w:rsidR="005109E3" w:rsidRPr="001B1A3C" w14:paraId="1F877180" w14:textId="77777777" w:rsidTr="00A22EE6">
        <w:tc>
          <w:tcPr>
            <w:tcW w:w="4675" w:type="dxa"/>
          </w:tcPr>
          <w:p w14:paraId="144AE90A" w14:textId="110CC35E" w:rsidR="005109E3" w:rsidRPr="001B1A3C" w:rsidRDefault="00D65488" w:rsidP="002F4B69">
            <w:pPr>
              <w:tabs>
                <w:tab w:val="left" w:pos="0"/>
              </w:tabs>
            </w:pPr>
            <w:r w:rsidRPr="001B1A3C">
              <w:t>2.2</w:t>
            </w:r>
            <w:r w:rsidR="00FC0AF3" w:rsidRPr="001B1A3C">
              <w:rPr>
                <w:rFonts w:hint="cs"/>
                <w:cs/>
              </w:rPr>
              <w:t>.2</w:t>
            </w:r>
            <w:r w:rsidR="005109E3" w:rsidRPr="001B1A3C">
              <w:rPr>
                <w:rFonts w:hint="cs"/>
                <w:cs/>
              </w:rPr>
              <w:t xml:space="preserve">  </w:t>
            </w:r>
            <w:r w:rsidR="005109E3" w:rsidRPr="001B1A3C">
              <w:rPr>
                <w:u w:val="single"/>
              </w:rPr>
              <w:t>IT security policy</w:t>
            </w:r>
          </w:p>
        </w:tc>
        <w:tc>
          <w:tcPr>
            <w:tcW w:w="5585" w:type="dxa"/>
          </w:tcPr>
          <w:p w14:paraId="17D2427C" w14:textId="2D042F43" w:rsidR="004D0771" w:rsidRPr="001B1A3C" w:rsidRDefault="005109E3" w:rsidP="004D0771">
            <w:pPr>
              <w:rPr>
                <w:rFonts w:ascii="Times New Roman" w:hAnsi="Times New Roman" w:cs="Times New Roman"/>
              </w:rPr>
            </w:pPr>
            <w:r w:rsidRPr="001B1A3C">
              <w:rPr>
                <w:rFonts w:hint="cs"/>
                <w:cs/>
              </w:rPr>
              <w:t xml:space="preserve">(1)  </w:t>
            </w:r>
            <w:bookmarkStart w:id="1" w:name="_Hlk96524118"/>
            <w:r w:rsidR="00DA6395" w:rsidRPr="001B1A3C">
              <w:t>Organization of IT</w:t>
            </w:r>
            <w:r w:rsidR="004D0771" w:rsidRPr="001B1A3C">
              <w:t xml:space="preserve"> securit</w:t>
            </w:r>
            <w:bookmarkEnd w:id="1"/>
            <w:r w:rsidR="00DA6395" w:rsidRPr="001B1A3C">
              <w:t>y;</w:t>
            </w:r>
            <w:r w:rsidR="004D0771" w:rsidRPr="001B1A3C">
              <w:rPr>
                <w:rFonts w:ascii="Times New Roman" w:hAnsi="Times New Roman" w:cs="Times New Roman"/>
              </w:rPr>
              <w:t xml:space="preserve"> </w:t>
            </w:r>
          </w:p>
          <w:p w14:paraId="3C92282F" w14:textId="42858278" w:rsidR="00931DB7" w:rsidRPr="001B1A3C" w:rsidRDefault="005109E3" w:rsidP="00931DB7">
            <w:pPr>
              <w:rPr>
                <w:rFonts w:ascii="Times New Roman" w:hAnsi="Times New Roman" w:cs="Times New Roman"/>
              </w:rPr>
            </w:pPr>
            <w:r w:rsidRPr="001B1A3C">
              <w:rPr>
                <w:rFonts w:hint="cs"/>
                <w:cs/>
              </w:rPr>
              <w:t>(2)</w:t>
            </w:r>
            <w:r w:rsidRPr="001B1A3C">
              <w:rPr>
                <w:cs/>
              </w:rPr>
              <w:t xml:space="preserve">  </w:t>
            </w:r>
            <w:r w:rsidR="00DA6395" w:rsidRPr="001B1A3C">
              <w:t xml:space="preserve">Personnel and third-party management; </w:t>
            </w:r>
          </w:p>
          <w:p w14:paraId="014B5B92" w14:textId="7DDAB915" w:rsidR="005109E3" w:rsidRPr="001B1A3C" w:rsidRDefault="005109E3" w:rsidP="005109E3">
            <w:pPr>
              <w:tabs>
                <w:tab w:val="left" w:pos="0"/>
              </w:tabs>
              <w:rPr>
                <w:spacing w:val="-10"/>
              </w:rPr>
            </w:pPr>
            <w:r w:rsidRPr="001B1A3C">
              <w:rPr>
                <w:rFonts w:hint="cs"/>
                <w:cs/>
              </w:rPr>
              <w:t>(3)</w:t>
            </w:r>
            <w:r w:rsidRPr="001B1A3C">
              <w:rPr>
                <w:cs/>
              </w:rPr>
              <w:t xml:space="preserve">  </w:t>
            </w:r>
            <w:r w:rsidRPr="001B1A3C">
              <w:rPr>
                <w:spacing w:val="-10"/>
              </w:rPr>
              <w:t xml:space="preserve">IT </w:t>
            </w:r>
            <w:r w:rsidR="006F6FF4" w:rsidRPr="001B1A3C">
              <w:rPr>
                <w:spacing w:val="-10"/>
              </w:rPr>
              <w:t>a</w:t>
            </w:r>
            <w:r w:rsidRPr="001B1A3C">
              <w:rPr>
                <w:spacing w:val="-10"/>
              </w:rPr>
              <w:t xml:space="preserve">sset </w:t>
            </w:r>
            <w:r w:rsidR="006F6FF4" w:rsidRPr="001B1A3C">
              <w:rPr>
                <w:spacing w:val="-10"/>
              </w:rPr>
              <w:t>m</w:t>
            </w:r>
            <w:r w:rsidRPr="001B1A3C">
              <w:rPr>
                <w:spacing w:val="-10"/>
              </w:rPr>
              <w:t>anagement</w:t>
            </w:r>
            <w:r w:rsidR="00DA6395" w:rsidRPr="001B1A3C">
              <w:rPr>
                <w:spacing w:val="-10"/>
              </w:rPr>
              <w:t xml:space="preserve">; </w:t>
            </w:r>
          </w:p>
          <w:p w14:paraId="43049FEC" w14:textId="21CF37E5" w:rsidR="005109E3" w:rsidRPr="001B1A3C" w:rsidRDefault="005109E3" w:rsidP="005109E3">
            <w:pPr>
              <w:tabs>
                <w:tab w:val="left" w:pos="0"/>
              </w:tabs>
            </w:pPr>
            <w:r w:rsidRPr="001B1A3C">
              <w:rPr>
                <w:rFonts w:hint="cs"/>
                <w:cs/>
              </w:rPr>
              <w:t>(4)</w:t>
            </w:r>
            <w:r w:rsidRPr="001B1A3C">
              <w:rPr>
                <w:cs/>
              </w:rPr>
              <w:t xml:space="preserve">  </w:t>
            </w:r>
            <w:r w:rsidR="00DA6395" w:rsidRPr="001B1A3C">
              <w:t>D</w:t>
            </w:r>
            <w:r w:rsidRPr="001B1A3C">
              <w:t xml:space="preserve">ata </w:t>
            </w:r>
            <w:r w:rsidR="006F6FF4" w:rsidRPr="001B1A3C">
              <w:t>s</w:t>
            </w:r>
            <w:r w:rsidRPr="001B1A3C">
              <w:t>ecurity</w:t>
            </w:r>
            <w:r w:rsidR="00DA6395" w:rsidRPr="001B1A3C">
              <w:t xml:space="preserve">; </w:t>
            </w:r>
            <w:r w:rsidRPr="001B1A3C">
              <w:t xml:space="preserve"> </w:t>
            </w:r>
          </w:p>
          <w:p w14:paraId="7DA294B1" w14:textId="71AC7E74" w:rsidR="00CF3B21" w:rsidRPr="001B1A3C" w:rsidRDefault="005109E3" w:rsidP="00CF3B21">
            <w:pPr>
              <w:rPr>
                <w:rFonts w:ascii="Times New Roman" w:hAnsi="Times New Roman" w:cs="Times New Roman"/>
              </w:rPr>
            </w:pPr>
            <w:r w:rsidRPr="001B1A3C">
              <w:rPr>
                <w:rFonts w:hint="cs"/>
                <w:cs/>
              </w:rPr>
              <w:t>(5)</w:t>
            </w:r>
            <w:r w:rsidRPr="001B1A3C">
              <w:rPr>
                <w:cs/>
              </w:rPr>
              <w:t xml:space="preserve">  </w:t>
            </w:r>
            <w:r w:rsidR="006E5CE0" w:rsidRPr="001B1A3C">
              <w:t>A</w:t>
            </w:r>
            <w:r w:rsidR="00CF3B21" w:rsidRPr="001B1A3C">
              <w:t>ccess contro</w:t>
            </w:r>
            <w:r w:rsidR="00DA6395" w:rsidRPr="001B1A3C">
              <w:t>l;</w:t>
            </w:r>
          </w:p>
          <w:p w14:paraId="4AEBC797" w14:textId="514EEF7E" w:rsidR="005109E3" w:rsidRPr="001B1A3C" w:rsidRDefault="005109E3" w:rsidP="005109E3">
            <w:pPr>
              <w:tabs>
                <w:tab w:val="left" w:pos="0"/>
              </w:tabs>
            </w:pPr>
            <w:r w:rsidRPr="001B1A3C">
              <w:rPr>
                <w:rFonts w:hint="cs"/>
                <w:cs/>
              </w:rPr>
              <w:t>(6)</w:t>
            </w:r>
            <w:r w:rsidRPr="001B1A3C">
              <w:rPr>
                <w:cs/>
              </w:rPr>
              <w:t xml:space="preserve">  </w:t>
            </w:r>
            <w:r w:rsidR="00DA6395" w:rsidRPr="001B1A3C">
              <w:t>C</w:t>
            </w:r>
            <w:r w:rsidR="002B74E8" w:rsidRPr="001B1A3C">
              <w:t>ryptographic control</w:t>
            </w:r>
            <w:r w:rsidR="00DA6395" w:rsidRPr="001B1A3C">
              <w:t xml:space="preserve">; </w:t>
            </w:r>
          </w:p>
          <w:p w14:paraId="5254C312" w14:textId="5D7B96E1" w:rsidR="005109E3" w:rsidRPr="001B1A3C" w:rsidRDefault="005109E3" w:rsidP="005109E3">
            <w:pPr>
              <w:tabs>
                <w:tab w:val="left" w:pos="0"/>
              </w:tabs>
            </w:pPr>
            <w:r w:rsidRPr="001B1A3C">
              <w:rPr>
                <w:rFonts w:hint="cs"/>
                <w:cs/>
              </w:rPr>
              <w:t>(7)</w:t>
            </w:r>
            <w:r w:rsidRPr="001B1A3C">
              <w:rPr>
                <w:cs/>
              </w:rPr>
              <w:t xml:space="preserve">  </w:t>
            </w:r>
            <w:r w:rsidR="00DA6395" w:rsidRPr="001B1A3C">
              <w:t>P</w:t>
            </w:r>
            <w:r w:rsidRPr="001B1A3C">
              <w:t xml:space="preserve">hysical and </w:t>
            </w:r>
            <w:r w:rsidR="006F6FF4" w:rsidRPr="001B1A3C">
              <w:t>e</w:t>
            </w:r>
            <w:r w:rsidRPr="001B1A3C">
              <w:t xml:space="preserve">nvironmental </w:t>
            </w:r>
            <w:r w:rsidR="006F6FF4" w:rsidRPr="001B1A3C">
              <w:t>s</w:t>
            </w:r>
            <w:r w:rsidRPr="001B1A3C">
              <w:t>ecurit</w:t>
            </w:r>
            <w:r w:rsidR="00DA6395" w:rsidRPr="001B1A3C">
              <w:t>y</w:t>
            </w:r>
          </w:p>
          <w:p w14:paraId="18CC73DD" w14:textId="3569DD98" w:rsidR="005109E3" w:rsidRPr="001B1A3C" w:rsidRDefault="005109E3" w:rsidP="005109E3">
            <w:pPr>
              <w:tabs>
                <w:tab w:val="left" w:pos="0"/>
              </w:tabs>
            </w:pPr>
            <w:r w:rsidRPr="001B1A3C">
              <w:rPr>
                <w:rFonts w:hint="cs"/>
                <w:cs/>
              </w:rPr>
              <w:lastRenderedPageBreak/>
              <w:t>(8)</w:t>
            </w:r>
            <w:r w:rsidRPr="001B1A3C">
              <w:rPr>
                <w:cs/>
              </w:rPr>
              <w:t xml:space="preserve">  </w:t>
            </w:r>
            <w:r w:rsidR="00F10977" w:rsidRPr="001B1A3C">
              <w:t>IT operations security</w:t>
            </w:r>
            <w:r w:rsidR="00DA6395" w:rsidRPr="001B1A3C">
              <w:t>;</w:t>
            </w:r>
          </w:p>
          <w:p w14:paraId="7685B575" w14:textId="017C1923" w:rsidR="005109E3" w:rsidRPr="001B1A3C" w:rsidRDefault="005109E3" w:rsidP="005109E3">
            <w:pPr>
              <w:tabs>
                <w:tab w:val="left" w:pos="0"/>
              </w:tabs>
            </w:pPr>
            <w:r w:rsidRPr="001B1A3C">
              <w:rPr>
                <w:rFonts w:hint="cs"/>
                <w:cs/>
              </w:rPr>
              <w:t>(9)</w:t>
            </w:r>
            <w:r w:rsidRPr="001B1A3C">
              <w:rPr>
                <w:cs/>
              </w:rPr>
              <w:t xml:space="preserve">  </w:t>
            </w:r>
            <w:r w:rsidR="006E5CE0" w:rsidRPr="001B1A3C">
              <w:t>C</w:t>
            </w:r>
            <w:r w:rsidR="00837B97" w:rsidRPr="001B1A3C">
              <w:t xml:space="preserve">ommunication </w:t>
            </w:r>
            <w:r w:rsidR="00D255E2" w:rsidRPr="001B1A3C">
              <w:t xml:space="preserve">system </w:t>
            </w:r>
            <w:r w:rsidR="00837B97" w:rsidRPr="001B1A3C">
              <w:t>security</w:t>
            </w:r>
            <w:r w:rsidR="00DA6395" w:rsidRPr="001B1A3C">
              <w:t xml:space="preserve">; </w:t>
            </w:r>
          </w:p>
          <w:p w14:paraId="028F30FC" w14:textId="12934254" w:rsidR="005109E3" w:rsidRPr="001B1A3C" w:rsidRDefault="005109E3" w:rsidP="005109E3">
            <w:pPr>
              <w:tabs>
                <w:tab w:val="left" w:pos="0"/>
              </w:tabs>
            </w:pPr>
            <w:r w:rsidRPr="001B1A3C">
              <w:rPr>
                <w:rFonts w:hint="cs"/>
                <w:cs/>
              </w:rPr>
              <w:t>(10)</w:t>
            </w:r>
            <w:r w:rsidRPr="001B1A3C">
              <w:rPr>
                <w:cs/>
              </w:rPr>
              <w:t xml:space="preserve">  </w:t>
            </w:r>
            <w:r w:rsidR="00DA6395" w:rsidRPr="001B1A3C">
              <w:t>IT project management, system acquisition, development and maintenance;</w:t>
            </w:r>
            <w:r w:rsidRPr="001B1A3C">
              <w:t xml:space="preserve"> </w:t>
            </w:r>
          </w:p>
          <w:p w14:paraId="02096CF2" w14:textId="68E76C80" w:rsidR="005109E3" w:rsidRPr="001B1A3C" w:rsidRDefault="005109E3" w:rsidP="005109E3">
            <w:pPr>
              <w:tabs>
                <w:tab w:val="left" w:pos="0"/>
              </w:tabs>
              <w:rPr>
                <w:cs/>
              </w:rPr>
            </w:pPr>
            <w:r w:rsidRPr="001B1A3C">
              <w:rPr>
                <w:rFonts w:hint="cs"/>
                <w:cs/>
              </w:rPr>
              <w:t>(1</w:t>
            </w:r>
            <w:r w:rsidR="0095753E" w:rsidRPr="001B1A3C">
              <w:rPr>
                <w:rFonts w:hint="cs"/>
                <w:cs/>
              </w:rPr>
              <w:t>1</w:t>
            </w:r>
            <w:r w:rsidRPr="001B1A3C">
              <w:rPr>
                <w:rFonts w:hint="cs"/>
                <w:cs/>
              </w:rPr>
              <w:t>)</w:t>
            </w:r>
            <w:r w:rsidRPr="001B1A3C">
              <w:rPr>
                <w:cs/>
              </w:rPr>
              <w:t xml:space="preserve">  </w:t>
            </w:r>
            <w:r w:rsidRPr="001B1A3C">
              <w:t xml:space="preserve">IT </w:t>
            </w:r>
            <w:r w:rsidR="006F6FF4" w:rsidRPr="001B1A3C">
              <w:t>i</w:t>
            </w:r>
            <w:r w:rsidRPr="001B1A3C">
              <w:t xml:space="preserve">ncident </w:t>
            </w:r>
            <w:r w:rsidR="006F6FF4" w:rsidRPr="001B1A3C">
              <w:t>m</w:t>
            </w:r>
            <w:r w:rsidRPr="001B1A3C">
              <w:t>anagement</w:t>
            </w:r>
            <w:r w:rsidR="00DA6395" w:rsidRPr="001B1A3C">
              <w:t>;</w:t>
            </w:r>
          </w:p>
          <w:p w14:paraId="18DADE1B" w14:textId="23B22080" w:rsidR="005109E3" w:rsidRPr="001B1A3C" w:rsidRDefault="005109E3" w:rsidP="005109E3">
            <w:pPr>
              <w:tabs>
                <w:tab w:val="left" w:pos="0"/>
              </w:tabs>
            </w:pPr>
            <w:r w:rsidRPr="001B1A3C">
              <w:rPr>
                <w:rFonts w:hint="cs"/>
                <w:cs/>
              </w:rPr>
              <w:t>(1</w:t>
            </w:r>
            <w:r w:rsidR="0095753E" w:rsidRPr="001B1A3C">
              <w:rPr>
                <w:rFonts w:hint="cs"/>
                <w:cs/>
              </w:rPr>
              <w:t>2</w:t>
            </w:r>
            <w:r w:rsidRPr="001B1A3C">
              <w:rPr>
                <w:rFonts w:hint="cs"/>
                <w:cs/>
              </w:rPr>
              <w:t>)</w:t>
            </w:r>
            <w:r w:rsidRPr="001B1A3C">
              <w:rPr>
                <w:cs/>
              </w:rPr>
              <w:t xml:space="preserve">  </w:t>
            </w:r>
            <w:r w:rsidRPr="001B1A3C">
              <w:t xml:space="preserve">IT </w:t>
            </w:r>
            <w:r w:rsidR="006F6FF4" w:rsidRPr="001B1A3C">
              <w:t>c</w:t>
            </w:r>
            <w:r w:rsidRPr="001B1A3C">
              <w:t xml:space="preserve">ontingency </w:t>
            </w:r>
            <w:r w:rsidR="006F6FF4" w:rsidRPr="001B1A3C">
              <w:t>p</w:t>
            </w:r>
            <w:r w:rsidRPr="001B1A3C">
              <w:t>lan</w:t>
            </w:r>
            <w:r w:rsidR="00DA6395" w:rsidRPr="001B1A3C">
              <w:t>.</w:t>
            </w:r>
          </w:p>
        </w:tc>
      </w:tr>
    </w:tbl>
    <w:p w14:paraId="6687F41C" w14:textId="7A23B54E" w:rsidR="00484AD6" w:rsidRPr="001B1A3C" w:rsidRDefault="00484AD6" w:rsidP="00AD55E8">
      <w:r w:rsidRPr="001B1A3C">
        <w:rPr>
          <w:rFonts w:hint="cs"/>
          <w:cs/>
        </w:rPr>
        <w:lastRenderedPageBreak/>
        <w:t xml:space="preserve">2.3  </w:t>
      </w:r>
      <w:r w:rsidR="0023451C" w:rsidRPr="001B1A3C">
        <w:t xml:space="preserve">A business operator shall operate according to the policies in Clause </w:t>
      </w:r>
      <w:r w:rsidRPr="001B1A3C">
        <w:rPr>
          <w:rFonts w:hint="cs"/>
          <w:cs/>
        </w:rPr>
        <w:t>2.2</w:t>
      </w:r>
      <w:r w:rsidR="0023451C" w:rsidRPr="001B1A3C">
        <w:t xml:space="preserve">, as follows: </w:t>
      </w:r>
    </w:p>
    <w:p w14:paraId="3D70C1D0" w14:textId="3E0D656E" w:rsidR="006C4B37" w:rsidRPr="001B1A3C" w:rsidRDefault="00484AD6" w:rsidP="00DA447F">
      <w:pPr>
        <w:tabs>
          <w:tab w:val="left" w:pos="0"/>
        </w:tabs>
        <w:spacing w:after="0" w:line="240" w:lineRule="auto"/>
        <w:ind w:right="-360"/>
      </w:pPr>
      <w:r w:rsidRPr="001B1A3C">
        <w:rPr>
          <w:cs/>
        </w:rPr>
        <w:tab/>
      </w:r>
      <w:r w:rsidRPr="001B1A3C">
        <w:rPr>
          <w:rFonts w:hint="cs"/>
          <w:cs/>
        </w:rPr>
        <w:t xml:space="preserve">    </w:t>
      </w:r>
      <w:r w:rsidR="005109E3" w:rsidRPr="001B1A3C">
        <w:rPr>
          <w:cs/>
        </w:rPr>
        <w:t xml:space="preserve">  </w:t>
      </w:r>
      <w:r w:rsidRPr="001B1A3C">
        <w:rPr>
          <w:rFonts w:hint="cs"/>
          <w:cs/>
        </w:rPr>
        <w:t xml:space="preserve">2.3.1  </w:t>
      </w:r>
      <w:r w:rsidR="0004282D" w:rsidRPr="001B1A3C">
        <w:t>Communication of policies under Clause 2.2 to related persons</w:t>
      </w:r>
      <w:r w:rsidR="00B45A08" w:rsidRPr="001B1A3C">
        <w:rPr>
          <w:rStyle w:val="FootnoteReference"/>
          <w:cs/>
        </w:rPr>
        <w:footnoteReference w:id="2"/>
      </w:r>
      <w:r w:rsidR="00B45A08" w:rsidRPr="001B1A3C">
        <w:rPr>
          <w:rFonts w:hint="cs"/>
          <w:cs/>
        </w:rPr>
        <w:t xml:space="preserve"> </w:t>
      </w:r>
      <w:r w:rsidR="0004282D" w:rsidRPr="001B1A3C">
        <w:t>for acknowledgement in accordance with their roles</w:t>
      </w:r>
      <w:r w:rsidR="00883897" w:rsidRPr="001B1A3C">
        <w:t>,</w:t>
      </w:r>
      <w:r w:rsidR="0004282D" w:rsidRPr="001B1A3C">
        <w:t xml:space="preserve"> responsibilities, and data access rights in an easily accessible manner to enable such related persons to understand and comply with the policies properly; </w:t>
      </w:r>
    </w:p>
    <w:p w14:paraId="18F5B6D3" w14:textId="5AB5322A" w:rsidR="00F37654" w:rsidRPr="001B1A3C" w:rsidRDefault="00F37654" w:rsidP="00F37654">
      <w:pPr>
        <w:tabs>
          <w:tab w:val="left" w:pos="0"/>
        </w:tabs>
        <w:spacing w:after="0" w:line="240" w:lineRule="auto"/>
        <w:rPr>
          <w:strike/>
          <w:cs/>
        </w:rPr>
      </w:pPr>
      <w:r w:rsidRPr="001B1A3C">
        <w:rPr>
          <w:cs/>
        </w:rPr>
        <w:tab/>
      </w:r>
      <w:r w:rsidRPr="001B1A3C">
        <w:rPr>
          <w:rFonts w:hint="cs"/>
          <w:cs/>
        </w:rPr>
        <w:t xml:space="preserve">    </w:t>
      </w:r>
      <w:r w:rsidRPr="001B1A3C">
        <w:rPr>
          <w:cs/>
        </w:rPr>
        <w:t xml:space="preserve">  </w:t>
      </w:r>
      <w:r w:rsidRPr="001B1A3C">
        <w:rPr>
          <w:rFonts w:hint="cs"/>
          <w:cs/>
        </w:rPr>
        <w:t xml:space="preserve">2.3.2  </w:t>
      </w:r>
      <w:r w:rsidR="0004282D" w:rsidRPr="001B1A3C">
        <w:t xml:space="preserve">Establishment of operational processes and procedures in compliance with the policies under Clause 2.2;   </w:t>
      </w:r>
    </w:p>
    <w:p w14:paraId="29835D23" w14:textId="22F90AFF" w:rsidR="0004282D" w:rsidRPr="001B1A3C" w:rsidRDefault="00F37654" w:rsidP="001E0B4D">
      <w:pPr>
        <w:tabs>
          <w:tab w:val="left" w:pos="0"/>
        </w:tabs>
        <w:spacing w:after="0" w:line="240" w:lineRule="auto"/>
      </w:pPr>
      <w:r w:rsidRPr="001B1A3C">
        <w:rPr>
          <w:cs/>
        </w:rPr>
        <w:tab/>
      </w:r>
      <w:r w:rsidRPr="001B1A3C">
        <w:rPr>
          <w:rFonts w:hint="cs"/>
          <w:cs/>
        </w:rPr>
        <w:t xml:space="preserve">    </w:t>
      </w:r>
      <w:r w:rsidRPr="001B1A3C">
        <w:rPr>
          <w:cs/>
        </w:rPr>
        <w:t xml:space="preserve">  </w:t>
      </w:r>
      <w:r w:rsidRPr="001B1A3C">
        <w:rPr>
          <w:rFonts w:hint="cs"/>
          <w:cs/>
        </w:rPr>
        <w:t xml:space="preserve">2.3.3  </w:t>
      </w:r>
      <w:r w:rsidR="0004282D" w:rsidRPr="001B1A3C">
        <w:t xml:space="preserve">In the event of changes in the policies under Clause </w:t>
      </w:r>
      <w:r w:rsidR="007B14E7" w:rsidRPr="001B1A3C">
        <w:t>2.2</w:t>
      </w:r>
      <w:r w:rsidR="0004282D" w:rsidRPr="001B1A3C">
        <w:t xml:space="preserve">, </w:t>
      </w:r>
      <w:r w:rsidR="001E0B4D" w:rsidRPr="001B1A3C">
        <w:t xml:space="preserve">such changes shall be communicated to all related persons and the operational processes and procedures shall be revised to be in line with such changes.  </w:t>
      </w:r>
    </w:p>
    <w:p w14:paraId="6B1F8024" w14:textId="020310F7" w:rsidR="001E0B4D" w:rsidRPr="001B1A3C" w:rsidRDefault="00484AD6" w:rsidP="00B75181">
      <w:pPr>
        <w:tabs>
          <w:tab w:val="left" w:pos="0"/>
        </w:tabs>
        <w:spacing w:after="0" w:line="240" w:lineRule="auto"/>
        <w:ind w:right="-180"/>
      </w:pPr>
      <w:r w:rsidRPr="001B1A3C">
        <w:rPr>
          <w:cs/>
        </w:rPr>
        <w:tab/>
      </w:r>
      <w:r w:rsidR="00F37654" w:rsidRPr="001B1A3C">
        <w:rPr>
          <w:rFonts w:hint="cs"/>
          <w:cs/>
        </w:rPr>
        <w:t xml:space="preserve">2.4  </w:t>
      </w:r>
      <w:r w:rsidR="001E0B4D" w:rsidRPr="001B1A3C">
        <w:t xml:space="preserve">A business operator shall review or revise the policies under Clause </w:t>
      </w:r>
      <w:r w:rsidR="001E0B4D" w:rsidRPr="001B1A3C">
        <w:rPr>
          <w:cs/>
        </w:rPr>
        <w:t xml:space="preserve">2.2 </w:t>
      </w:r>
      <w:r w:rsidR="001E0B4D" w:rsidRPr="001B1A3C">
        <w:t xml:space="preserve">at least once a year and without delay upon occurrence of any incident that may </w:t>
      </w:r>
      <w:r w:rsidR="0080067B" w:rsidRPr="001B1A3C">
        <w:t xml:space="preserve">significantly </w:t>
      </w:r>
      <w:r w:rsidR="001E0B4D" w:rsidRPr="001B1A3C">
        <w:t xml:space="preserve">affect </w:t>
      </w:r>
      <w:r w:rsidR="001E58A5" w:rsidRPr="001B1A3C">
        <w:t xml:space="preserve">the </w:t>
      </w:r>
      <w:r w:rsidR="001E0B4D" w:rsidRPr="001B1A3C">
        <w:t>governance</w:t>
      </w:r>
      <w:r w:rsidR="00202FF1" w:rsidRPr="001B1A3C">
        <w:t xml:space="preserve"> and management</w:t>
      </w:r>
      <w:r w:rsidR="001E58A5" w:rsidRPr="001B1A3C">
        <w:t xml:space="preserve"> of IT risk</w:t>
      </w:r>
      <w:r w:rsidR="001E0B4D" w:rsidRPr="001B1A3C">
        <w:t xml:space="preserve">.  </w:t>
      </w:r>
    </w:p>
    <w:sectPr w:rsidR="001E0B4D" w:rsidRPr="001B1A3C" w:rsidSect="00C11F3A">
      <w:headerReference w:type="default" r:id="rId11"/>
      <w:footerReference w:type="default" r:id="rId12"/>
      <w:headerReference w:type="first" r:id="rId13"/>
      <w:pgSz w:w="12240" w:h="15840"/>
      <w:pgMar w:top="993" w:right="1440" w:bottom="1170" w:left="1440" w:header="720" w:footer="720" w:gutter="0"/>
      <w:cols w:space="720"/>
      <w:titlePg/>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501B2" w14:textId="77777777" w:rsidR="001C44D0" w:rsidRDefault="001C44D0" w:rsidP="001534F2">
      <w:pPr>
        <w:spacing w:after="0" w:line="240" w:lineRule="auto"/>
      </w:pPr>
      <w:r>
        <w:separator/>
      </w:r>
    </w:p>
  </w:endnote>
  <w:endnote w:type="continuationSeparator" w:id="0">
    <w:p w14:paraId="56CB456C" w14:textId="77777777" w:rsidR="001C44D0" w:rsidRDefault="001C44D0" w:rsidP="001534F2">
      <w:pPr>
        <w:spacing w:after="0" w:line="240" w:lineRule="auto"/>
      </w:pPr>
      <w:r>
        <w:continuationSeparator/>
      </w:r>
    </w:p>
  </w:endnote>
  <w:endnote w:type="continuationNotice" w:id="1">
    <w:p w14:paraId="799B389E" w14:textId="77777777" w:rsidR="001C44D0" w:rsidRDefault="001C44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H SarabunPSK">
    <w:panose1 w:val="020B0500040200020003"/>
    <w:charset w:val="DE"/>
    <w:family w:val="swiss"/>
    <w:pitch w:val="variable"/>
    <w:sig w:usb0="A100006F" w:usb1="5000205A" w:usb2="00000000" w:usb3="00000000" w:csb0="00010193" w:csb1="00000000"/>
  </w:font>
  <w:font w:name="Calibri">
    <w:panose1 w:val="020F0502020204030204"/>
    <w:charset w:val="00"/>
    <w:family w:val="swiss"/>
    <w:pitch w:val="variable"/>
    <w:sig w:usb0="E4002EFF" w:usb1="C200ACFF"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AE07C" w14:textId="59F412A4" w:rsidR="001534F2" w:rsidRDefault="001534F2">
    <w:pPr>
      <w:pStyle w:val="Footer"/>
    </w:pPr>
    <w:r>
      <w:rPr>
        <w:noProof/>
      </w:rPr>
      <mc:AlternateContent>
        <mc:Choice Requires="wps">
          <w:drawing>
            <wp:anchor distT="0" distB="0" distL="0" distR="0" simplePos="0" relativeHeight="251658240" behindDoc="0" locked="0" layoutInCell="1" allowOverlap="1" wp14:anchorId="4AE2F158" wp14:editId="1AF49686">
              <wp:simplePos x="635" y="635"/>
              <wp:positionH relativeFrom="leftMargin">
                <wp:align>left</wp:align>
              </wp:positionH>
              <wp:positionV relativeFrom="paragraph">
                <wp:posOffset>635</wp:posOffset>
              </wp:positionV>
              <wp:extent cx="443865" cy="443865"/>
              <wp:effectExtent l="0" t="0" r="7620" b="4445"/>
              <wp:wrapSquare wrapText="bothSides"/>
              <wp:docPr id="3" name="Text Box 3" descr="SEC Classification : ใช้ภายใน (Internal) "/>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22AA497" w14:textId="4FD63ECE" w:rsidR="001534F2" w:rsidRPr="001534F2" w:rsidRDefault="001534F2">
                          <w:pPr>
                            <w:rPr>
                              <w:rFonts w:ascii="Tahoma" w:eastAsia="Tahoma" w:hAnsi="Tahoma" w:cs="Tahoma"/>
                              <w:color w:val="C0C0C0"/>
                              <w:sz w:val="24"/>
                              <w:szCs w:val="24"/>
                            </w:rPr>
                          </w:pP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4AE2F158" id="_x0000_t202" coordsize="21600,21600" o:spt="202" path="m,l,21600r21600,l21600,xe">
              <v:stroke joinstyle="miter"/>
              <v:path gradientshapeok="t" o:connecttype="rect"/>
            </v:shapetype>
            <v:shape id="Text Box 3" o:spid="_x0000_s1026" type="#_x0000_t202" alt="SEC Classification : ใช้ภายใน (Internal) " style="position:absolute;margin-left:0;margin-top:.05pt;width:34.95pt;height:34.95pt;z-index:251658240;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CC8BQIAABQ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" filled="f" stroked="f">
              <v:textbox style="mso-fit-shape-to-text:t" inset="5pt,0,0,0">
                <w:txbxContent>
                  <w:p w14:paraId="022AA497" w14:textId="4FD63ECE" w:rsidR="001534F2" w:rsidRPr="001534F2" w:rsidRDefault="001534F2">
                    <w:pPr>
                      <w:rPr>
                        <w:rFonts w:ascii="Tahoma" w:eastAsia="Tahoma" w:hAnsi="Tahoma" w:cs="Tahoma"/>
                        <w:color w:val="C0C0C0"/>
                        <w:sz w:val="24"/>
                        <w:szCs w:val="24"/>
                      </w:rPr>
                    </w:pP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6AD46" w14:textId="77777777" w:rsidR="001C44D0" w:rsidRDefault="001C44D0" w:rsidP="001534F2">
      <w:pPr>
        <w:spacing w:after="0" w:line="240" w:lineRule="auto"/>
      </w:pPr>
      <w:r>
        <w:separator/>
      </w:r>
    </w:p>
  </w:footnote>
  <w:footnote w:type="continuationSeparator" w:id="0">
    <w:p w14:paraId="7A76CE89" w14:textId="77777777" w:rsidR="001C44D0" w:rsidRDefault="001C44D0" w:rsidP="001534F2">
      <w:pPr>
        <w:spacing w:after="0" w:line="240" w:lineRule="auto"/>
      </w:pPr>
      <w:r>
        <w:continuationSeparator/>
      </w:r>
    </w:p>
  </w:footnote>
  <w:footnote w:type="continuationNotice" w:id="1">
    <w:p w14:paraId="7DEAC0AB" w14:textId="77777777" w:rsidR="001C44D0" w:rsidRDefault="001C44D0">
      <w:pPr>
        <w:spacing w:after="0" w:line="240" w:lineRule="auto"/>
      </w:pPr>
    </w:p>
  </w:footnote>
  <w:footnote w:id="2">
    <w:p w14:paraId="67C40677" w14:textId="2347EF6D" w:rsidR="00B45A08" w:rsidRPr="00E11413" w:rsidRDefault="00B45A08" w:rsidP="00B45A08">
      <w:pPr>
        <w:pStyle w:val="FootnoteText"/>
        <w:rPr>
          <w:rFonts w:cs="TH SarabunPSK"/>
          <w:sz w:val="28"/>
          <w:szCs w:val="28"/>
          <w:cs/>
        </w:rPr>
      </w:pPr>
      <w:r w:rsidRPr="00E11413">
        <w:rPr>
          <w:rStyle w:val="FootnoteReference"/>
          <w:rFonts w:cs="TH SarabunPSK"/>
          <w:sz w:val="28"/>
          <w:szCs w:val="28"/>
        </w:rPr>
        <w:footnoteRef/>
      </w:r>
      <w:r w:rsidRPr="00E11413">
        <w:rPr>
          <w:rFonts w:cs="TH SarabunPSK"/>
          <w:sz w:val="28"/>
          <w:szCs w:val="28"/>
        </w:rPr>
        <w:t xml:space="preserve"> </w:t>
      </w:r>
      <w:r w:rsidR="001E514D" w:rsidRPr="00E11413">
        <w:rPr>
          <w:rFonts w:cs="TH SarabunPSK"/>
          <w:sz w:val="28"/>
          <w:szCs w:val="28"/>
        </w:rPr>
        <w:t>“</w:t>
      </w:r>
      <w:r w:rsidR="00E11413">
        <w:rPr>
          <w:rFonts w:cs="TH SarabunPSK"/>
          <w:sz w:val="28"/>
          <w:szCs w:val="28"/>
        </w:rPr>
        <w:t>Related persons</w:t>
      </w:r>
      <w:r w:rsidR="001E514D" w:rsidRPr="00E11413">
        <w:rPr>
          <w:rFonts w:cs="TH SarabunPSK"/>
          <w:sz w:val="28"/>
          <w:szCs w:val="28"/>
        </w:rPr>
        <w:t>”</w:t>
      </w:r>
      <w:r w:rsidRPr="00E11413">
        <w:rPr>
          <w:rFonts w:cs="TH SarabunPSK"/>
          <w:sz w:val="28"/>
          <w:szCs w:val="28"/>
          <w:cs/>
        </w:rPr>
        <w:t xml:space="preserve"> </w:t>
      </w:r>
      <w:r w:rsidR="00E11413">
        <w:rPr>
          <w:rFonts w:cs="TH SarabunPSK"/>
          <w:sz w:val="28"/>
          <w:szCs w:val="28"/>
        </w:rPr>
        <w:t xml:space="preserve">means personnel, directors, including third-parties.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H SarabunPSK"/>
        <w:sz w:val="28"/>
        <w:szCs w:val="28"/>
      </w:rPr>
      <w:id w:val="1055509301"/>
      <w:docPartObj>
        <w:docPartGallery w:val="Page Numbers (Top of Page)"/>
        <w:docPartUnique/>
      </w:docPartObj>
    </w:sdtPr>
    <w:sdtEndPr>
      <w:rPr>
        <w:noProof/>
      </w:rPr>
    </w:sdtEndPr>
    <w:sdtContent>
      <w:p w14:paraId="22CC3286" w14:textId="397D8570" w:rsidR="001534F2" w:rsidRPr="00E97A3C" w:rsidRDefault="001534F2">
        <w:pPr>
          <w:pStyle w:val="Header"/>
          <w:jc w:val="center"/>
          <w:rPr>
            <w:rFonts w:cs="TH SarabunPSK"/>
            <w:sz w:val="28"/>
            <w:szCs w:val="28"/>
          </w:rPr>
        </w:pPr>
        <w:r w:rsidRPr="00E97A3C">
          <w:rPr>
            <w:rFonts w:cs="TH SarabunPSK"/>
            <w:sz w:val="28"/>
            <w:szCs w:val="28"/>
          </w:rPr>
          <w:fldChar w:fldCharType="begin"/>
        </w:r>
        <w:r w:rsidRPr="00E97A3C">
          <w:rPr>
            <w:rFonts w:cs="TH SarabunPSK"/>
            <w:sz w:val="28"/>
            <w:szCs w:val="28"/>
          </w:rPr>
          <w:instrText xml:space="preserve"> PAGE   \* MERGEFORMAT </w:instrText>
        </w:r>
        <w:r w:rsidRPr="00E97A3C">
          <w:rPr>
            <w:rFonts w:cs="TH SarabunPSK"/>
            <w:sz w:val="28"/>
            <w:szCs w:val="28"/>
          </w:rPr>
          <w:fldChar w:fldCharType="separate"/>
        </w:r>
        <w:r w:rsidRPr="00E97A3C">
          <w:rPr>
            <w:rFonts w:cs="TH SarabunPSK"/>
            <w:noProof/>
            <w:sz w:val="28"/>
            <w:szCs w:val="28"/>
          </w:rPr>
          <w:t>2</w:t>
        </w:r>
        <w:r w:rsidRPr="00E97A3C">
          <w:rPr>
            <w:rFonts w:cs="TH SarabunPSK"/>
            <w:noProof/>
            <w:sz w:val="28"/>
            <w:szCs w:val="28"/>
          </w:rPr>
          <w:fldChar w:fldCharType="end"/>
        </w:r>
      </w:p>
    </w:sdtContent>
  </w:sdt>
  <w:p w14:paraId="3B2A64BB" w14:textId="77777777" w:rsidR="001534F2" w:rsidRDefault="001534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ED5C0" w14:textId="77777777" w:rsidR="00970BDB" w:rsidRPr="006518A2" w:rsidRDefault="00970BDB" w:rsidP="00970BDB">
    <w:pPr>
      <w:pStyle w:val="Header"/>
      <w:ind w:right="-43"/>
      <w:jc w:val="center"/>
      <w:rPr>
        <w:rFonts w:cs="TH SarabunPSK"/>
        <w:b/>
        <w:bCs/>
        <w:szCs w:val="32"/>
      </w:rPr>
    </w:pPr>
    <w:bookmarkStart w:id="2" w:name="_Hlk129603362"/>
    <w:bookmarkStart w:id="3" w:name="_Hlk129603363"/>
    <w:bookmarkStart w:id="4" w:name="_Hlk129610778"/>
    <w:bookmarkStart w:id="5" w:name="_Hlk129610779"/>
    <w:r w:rsidRPr="006518A2">
      <w:rPr>
        <w:rFonts w:cs="TH SarabunPSK"/>
        <w:b/>
        <w:bCs/>
        <w:szCs w:val="32"/>
      </w:rPr>
      <w:t xml:space="preserve">Unofficial Translation </w:t>
    </w:r>
  </w:p>
  <w:p w14:paraId="16002D19" w14:textId="42FE3D66" w:rsidR="00970BDB" w:rsidRPr="006518A2" w:rsidRDefault="00970BDB" w:rsidP="00970BDB">
    <w:pPr>
      <w:pStyle w:val="Header"/>
      <w:ind w:right="-43"/>
      <w:rPr>
        <w:rFonts w:cs="TH SarabunPSK"/>
        <w:szCs w:val="32"/>
      </w:rPr>
    </w:pPr>
    <w:r w:rsidRPr="006518A2">
      <w:rPr>
        <w:rFonts w:cs="TH SarabunPSK"/>
        <w:i/>
        <w:iCs/>
        <w:szCs w:val="32"/>
      </w:rPr>
      <w:t>Readers should be aware that only the original Thai text has legal force, and that this English translation is strictly for reference.</w:t>
    </w:r>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E70C1"/>
    <w:multiLevelType w:val="multilevel"/>
    <w:tmpl w:val="EAD69F4C"/>
    <w:lvl w:ilvl="0">
      <w:start w:val="1"/>
      <w:numFmt w:val="decimal"/>
      <w:lvlText w:val="%1."/>
      <w:lvlJc w:val="left"/>
      <w:pPr>
        <w:ind w:left="720" w:hanging="360"/>
      </w:pPr>
      <w:rPr>
        <w:strike w:val="0"/>
      </w:rPr>
    </w:lvl>
    <w:lvl w:ilvl="1">
      <w:start w:val="1"/>
      <w:numFmt w:val="decimal"/>
      <w:isLgl/>
      <w:lvlText w:val="%1.%2"/>
      <w:lvlJc w:val="left"/>
      <w:pPr>
        <w:ind w:left="2250" w:hanging="360"/>
      </w:pPr>
      <w:rPr>
        <w:rFonts w:hint="default"/>
        <w:strike w:val="0"/>
        <w:color w:val="auto"/>
        <w:lang w:bidi="th-TH"/>
      </w:rPr>
    </w:lvl>
    <w:lvl w:ilvl="2">
      <w:start w:val="1"/>
      <w:numFmt w:val="decimal"/>
      <w:isLgl/>
      <w:lvlText w:val="%1.%2.%3"/>
      <w:lvlJc w:val="left"/>
      <w:pPr>
        <w:ind w:left="1212" w:hanging="720"/>
      </w:pPr>
      <w:rPr>
        <w:rFonts w:hint="default"/>
        <w:strike w:val="0"/>
        <w:color w:val="auto"/>
      </w:rPr>
    </w:lvl>
    <w:lvl w:ilvl="3">
      <w:start w:val="1"/>
      <w:numFmt w:val="decimal"/>
      <w:isLgl/>
      <w:lvlText w:val="%1.%2.%3.%4"/>
      <w:lvlJc w:val="left"/>
      <w:pPr>
        <w:ind w:left="1278" w:hanging="720"/>
      </w:pPr>
      <w:rPr>
        <w:rFonts w:hint="default"/>
        <w:color w:val="0070C0"/>
      </w:rPr>
    </w:lvl>
    <w:lvl w:ilvl="4">
      <w:start w:val="1"/>
      <w:numFmt w:val="decimal"/>
      <w:isLgl/>
      <w:lvlText w:val="%1.%2.%3.%4.%5"/>
      <w:lvlJc w:val="left"/>
      <w:pPr>
        <w:ind w:left="1704" w:hanging="1080"/>
      </w:pPr>
      <w:rPr>
        <w:rFonts w:hint="default"/>
        <w:color w:val="0070C0"/>
      </w:rPr>
    </w:lvl>
    <w:lvl w:ilvl="5">
      <w:start w:val="1"/>
      <w:numFmt w:val="decimal"/>
      <w:isLgl/>
      <w:lvlText w:val="%1.%2.%3.%4.%5.%6"/>
      <w:lvlJc w:val="left"/>
      <w:pPr>
        <w:ind w:left="1770" w:hanging="1080"/>
      </w:pPr>
      <w:rPr>
        <w:rFonts w:hint="default"/>
        <w:color w:val="0070C0"/>
      </w:rPr>
    </w:lvl>
    <w:lvl w:ilvl="6">
      <w:start w:val="1"/>
      <w:numFmt w:val="decimal"/>
      <w:isLgl/>
      <w:lvlText w:val="%1.%2.%3.%4.%5.%6.%7"/>
      <w:lvlJc w:val="left"/>
      <w:pPr>
        <w:ind w:left="1836" w:hanging="1080"/>
      </w:pPr>
      <w:rPr>
        <w:rFonts w:hint="default"/>
        <w:color w:val="0070C0"/>
      </w:rPr>
    </w:lvl>
    <w:lvl w:ilvl="7">
      <w:start w:val="1"/>
      <w:numFmt w:val="decimal"/>
      <w:isLgl/>
      <w:lvlText w:val="%1.%2.%3.%4.%5.%6.%7.%8"/>
      <w:lvlJc w:val="left"/>
      <w:pPr>
        <w:ind w:left="2262" w:hanging="1440"/>
      </w:pPr>
      <w:rPr>
        <w:rFonts w:hint="default"/>
        <w:color w:val="0070C0"/>
      </w:rPr>
    </w:lvl>
    <w:lvl w:ilvl="8">
      <w:start w:val="1"/>
      <w:numFmt w:val="decimal"/>
      <w:isLgl/>
      <w:lvlText w:val="%1.%2.%3.%4.%5.%6.%7.%8.%9"/>
      <w:lvlJc w:val="left"/>
      <w:pPr>
        <w:ind w:left="2328" w:hanging="1440"/>
      </w:pPr>
      <w:rPr>
        <w:rFonts w:hint="default"/>
        <w:color w:val="0070C0"/>
      </w:rPr>
    </w:lvl>
  </w:abstractNum>
  <w:abstractNum w:abstractNumId="1" w15:restartNumberingAfterBreak="0">
    <w:nsid w:val="3E7F5B8E"/>
    <w:multiLevelType w:val="hybridMultilevel"/>
    <w:tmpl w:val="9B904B0C"/>
    <w:lvl w:ilvl="0" w:tplc="04CA19B4">
      <w:start w:val="1"/>
      <w:numFmt w:val="decimal"/>
      <w:lvlText w:val="(%1)"/>
      <w:lvlJc w:val="left"/>
      <w:pPr>
        <w:ind w:left="1571" w:hanging="360"/>
      </w:pPr>
      <w:rPr>
        <w:rFonts w:hint="default"/>
      </w:rPr>
    </w:lvl>
    <w:lvl w:ilvl="1" w:tplc="04CA19B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0890718">
    <w:abstractNumId w:val="0"/>
  </w:num>
  <w:num w:numId="2" w16cid:durableId="10993328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4F2"/>
    <w:rsid w:val="00001485"/>
    <w:rsid w:val="0000610D"/>
    <w:rsid w:val="00006E93"/>
    <w:rsid w:val="00007BA9"/>
    <w:rsid w:val="000142AB"/>
    <w:rsid w:val="00014CDE"/>
    <w:rsid w:val="000238B0"/>
    <w:rsid w:val="00030730"/>
    <w:rsid w:val="000308B6"/>
    <w:rsid w:val="00033655"/>
    <w:rsid w:val="0004282D"/>
    <w:rsid w:val="0004609E"/>
    <w:rsid w:val="0004776A"/>
    <w:rsid w:val="00053E5D"/>
    <w:rsid w:val="000611A4"/>
    <w:rsid w:val="0006220C"/>
    <w:rsid w:val="00063338"/>
    <w:rsid w:val="00066A59"/>
    <w:rsid w:val="00070869"/>
    <w:rsid w:val="000709DF"/>
    <w:rsid w:val="00073120"/>
    <w:rsid w:val="00075EB1"/>
    <w:rsid w:val="000777CD"/>
    <w:rsid w:val="00080699"/>
    <w:rsid w:val="00081976"/>
    <w:rsid w:val="00084C17"/>
    <w:rsid w:val="00086756"/>
    <w:rsid w:val="00091D8A"/>
    <w:rsid w:val="000923D2"/>
    <w:rsid w:val="00095CB5"/>
    <w:rsid w:val="000B27ED"/>
    <w:rsid w:val="000B62E4"/>
    <w:rsid w:val="000B6360"/>
    <w:rsid w:val="000C3065"/>
    <w:rsid w:val="000C3BF2"/>
    <w:rsid w:val="000C507F"/>
    <w:rsid w:val="000C5CB3"/>
    <w:rsid w:val="000C6264"/>
    <w:rsid w:val="000F3761"/>
    <w:rsid w:val="000F43A0"/>
    <w:rsid w:val="000F4BBC"/>
    <w:rsid w:val="00103B76"/>
    <w:rsid w:val="001041D6"/>
    <w:rsid w:val="00106CF1"/>
    <w:rsid w:val="00116AAA"/>
    <w:rsid w:val="00116C38"/>
    <w:rsid w:val="00117AAE"/>
    <w:rsid w:val="00123A1E"/>
    <w:rsid w:val="00126733"/>
    <w:rsid w:val="001322A0"/>
    <w:rsid w:val="00137E4D"/>
    <w:rsid w:val="001400C5"/>
    <w:rsid w:val="001416F0"/>
    <w:rsid w:val="00147680"/>
    <w:rsid w:val="001516C7"/>
    <w:rsid w:val="00151747"/>
    <w:rsid w:val="00151F30"/>
    <w:rsid w:val="001527D1"/>
    <w:rsid w:val="001534F2"/>
    <w:rsid w:val="00155D3C"/>
    <w:rsid w:val="00172871"/>
    <w:rsid w:val="00175764"/>
    <w:rsid w:val="0018339F"/>
    <w:rsid w:val="001840A5"/>
    <w:rsid w:val="00190279"/>
    <w:rsid w:val="001938B0"/>
    <w:rsid w:val="001943C1"/>
    <w:rsid w:val="00196C01"/>
    <w:rsid w:val="001A0FB9"/>
    <w:rsid w:val="001A4937"/>
    <w:rsid w:val="001B1901"/>
    <w:rsid w:val="001B1A3C"/>
    <w:rsid w:val="001C1835"/>
    <w:rsid w:val="001C2557"/>
    <w:rsid w:val="001C44D0"/>
    <w:rsid w:val="001C5561"/>
    <w:rsid w:val="001C6FC9"/>
    <w:rsid w:val="001D496A"/>
    <w:rsid w:val="001D4B35"/>
    <w:rsid w:val="001D60BF"/>
    <w:rsid w:val="001E0B4D"/>
    <w:rsid w:val="001E13A1"/>
    <w:rsid w:val="001E431A"/>
    <w:rsid w:val="001E46FB"/>
    <w:rsid w:val="001E514D"/>
    <w:rsid w:val="001E55B8"/>
    <w:rsid w:val="001E58A5"/>
    <w:rsid w:val="00201E6F"/>
    <w:rsid w:val="00202FF1"/>
    <w:rsid w:val="002123B5"/>
    <w:rsid w:val="002141BD"/>
    <w:rsid w:val="00216084"/>
    <w:rsid w:val="002205D9"/>
    <w:rsid w:val="0022172D"/>
    <w:rsid w:val="00221FC6"/>
    <w:rsid w:val="0022531B"/>
    <w:rsid w:val="00227DE2"/>
    <w:rsid w:val="00230D91"/>
    <w:rsid w:val="0023247A"/>
    <w:rsid w:val="00233632"/>
    <w:rsid w:val="00233BF9"/>
    <w:rsid w:val="0023451C"/>
    <w:rsid w:val="002403D7"/>
    <w:rsid w:val="00244AB5"/>
    <w:rsid w:val="002465AD"/>
    <w:rsid w:val="00247840"/>
    <w:rsid w:val="002527D1"/>
    <w:rsid w:val="00256883"/>
    <w:rsid w:val="002602C9"/>
    <w:rsid w:val="00270A77"/>
    <w:rsid w:val="002723CC"/>
    <w:rsid w:val="00274076"/>
    <w:rsid w:val="00276F8D"/>
    <w:rsid w:val="00280EF0"/>
    <w:rsid w:val="00283AB6"/>
    <w:rsid w:val="00285440"/>
    <w:rsid w:val="00285EE5"/>
    <w:rsid w:val="0029201C"/>
    <w:rsid w:val="0029713F"/>
    <w:rsid w:val="002974F3"/>
    <w:rsid w:val="002A0A99"/>
    <w:rsid w:val="002A6407"/>
    <w:rsid w:val="002B2C27"/>
    <w:rsid w:val="002B3D9A"/>
    <w:rsid w:val="002B6AC2"/>
    <w:rsid w:val="002B6E4D"/>
    <w:rsid w:val="002B74E8"/>
    <w:rsid w:val="002C4EF5"/>
    <w:rsid w:val="002D0597"/>
    <w:rsid w:val="002E089E"/>
    <w:rsid w:val="002E3BF4"/>
    <w:rsid w:val="002F13B0"/>
    <w:rsid w:val="002F2459"/>
    <w:rsid w:val="002F2E2C"/>
    <w:rsid w:val="002F4B69"/>
    <w:rsid w:val="0030454B"/>
    <w:rsid w:val="003148F0"/>
    <w:rsid w:val="003168C4"/>
    <w:rsid w:val="00325589"/>
    <w:rsid w:val="003462AA"/>
    <w:rsid w:val="00353DE7"/>
    <w:rsid w:val="00367BC0"/>
    <w:rsid w:val="0037042C"/>
    <w:rsid w:val="003714BF"/>
    <w:rsid w:val="00373289"/>
    <w:rsid w:val="003825E7"/>
    <w:rsid w:val="00383258"/>
    <w:rsid w:val="00384366"/>
    <w:rsid w:val="0038553B"/>
    <w:rsid w:val="003856E1"/>
    <w:rsid w:val="00392864"/>
    <w:rsid w:val="00394497"/>
    <w:rsid w:val="003A5178"/>
    <w:rsid w:val="003A72AD"/>
    <w:rsid w:val="003A7605"/>
    <w:rsid w:val="003B0780"/>
    <w:rsid w:val="003C0281"/>
    <w:rsid w:val="003C20E1"/>
    <w:rsid w:val="003C2BF3"/>
    <w:rsid w:val="003C7C55"/>
    <w:rsid w:val="003D60F9"/>
    <w:rsid w:val="003D7076"/>
    <w:rsid w:val="003D7271"/>
    <w:rsid w:val="003E6E6B"/>
    <w:rsid w:val="003E73B7"/>
    <w:rsid w:val="003F043D"/>
    <w:rsid w:val="003F175A"/>
    <w:rsid w:val="003F1E2E"/>
    <w:rsid w:val="003F2026"/>
    <w:rsid w:val="003F72C6"/>
    <w:rsid w:val="003F76F2"/>
    <w:rsid w:val="0041039C"/>
    <w:rsid w:val="004107CC"/>
    <w:rsid w:val="0042173A"/>
    <w:rsid w:val="0042702D"/>
    <w:rsid w:val="00427BAA"/>
    <w:rsid w:val="00427C07"/>
    <w:rsid w:val="0046056A"/>
    <w:rsid w:val="0046060F"/>
    <w:rsid w:val="004614BB"/>
    <w:rsid w:val="004676E9"/>
    <w:rsid w:val="0047189F"/>
    <w:rsid w:val="004740BC"/>
    <w:rsid w:val="00484AD6"/>
    <w:rsid w:val="004861B0"/>
    <w:rsid w:val="00494A58"/>
    <w:rsid w:val="004A0062"/>
    <w:rsid w:val="004A3A93"/>
    <w:rsid w:val="004A3FCB"/>
    <w:rsid w:val="004A7129"/>
    <w:rsid w:val="004B37A6"/>
    <w:rsid w:val="004D0771"/>
    <w:rsid w:val="004D20DA"/>
    <w:rsid w:val="004D3FD2"/>
    <w:rsid w:val="004D4596"/>
    <w:rsid w:val="004E0D86"/>
    <w:rsid w:val="004E1225"/>
    <w:rsid w:val="004F11E6"/>
    <w:rsid w:val="004F1BE2"/>
    <w:rsid w:val="004F1BEF"/>
    <w:rsid w:val="00500371"/>
    <w:rsid w:val="0050150B"/>
    <w:rsid w:val="005025E0"/>
    <w:rsid w:val="00503409"/>
    <w:rsid w:val="00505062"/>
    <w:rsid w:val="005075BA"/>
    <w:rsid w:val="005109E3"/>
    <w:rsid w:val="00514264"/>
    <w:rsid w:val="00520F9F"/>
    <w:rsid w:val="0052150C"/>
    <w:rsid w:val="00531B89"/>
    <w:rsid w:val="0053257C"/>
    <w:rsid w:val="0053523B"/>
    <w:rsid w:val="00550ECD"/>
    <w:rsid w:val="005577BB"/>
    <w:rsid w:val="0056017A"/>
    <w:rsid w:val="00562126"/>
    <w:rsid w:val="00562D28"/>
    <w:rsid w:val="0057186E"/>
    <w:rsid w:val="00581D70"/>
    <w:rsid w:val="00582C7A"/>
    <w:rsid w:val="00587E2E"/>
    <w:rsid w:val="0059050C"/>
    <w:rsid w:val="0059226B"/>
    <w:rsid w:val="00592D5C"/>
    <w:rsid w:val="005A04C4"/>
    <w:rsid w:val="005A0E61"/>
    <w:rsid w:val="005A4422"/>
    <w:rsid w:val="005A5389"/>
    <w:rsid w:val="005B24D5"/>
    <w:rsid w:val="005B6D39"/>
    <w:rsid w:val="005B7D54"/>
    <w:rsid w:val="005C101B"/>
    <w:rsid w:val="005C187E"/>
    <w:rsid w:val="005D0EA3"/>
    <w:rsid w:val="005E00D0"/>
    <w:rsid w:val="005F0578"/>
    <w:rsid w:val="005F420A"/>
    <w:rsid w:val="005F5DB7"/>
    <w:rsid w:val="005F6F6D"/>
    <w:rsid w:val="0060047B"/>
    <w:rsid w:val="00601ADF"/>
    <w:rsid w:val="00601D4F"/>
    <w:rsid w:val="00602D6B"/>
    <w:rsid w:val="0060605B"/>
    <w:rsid w:val="00606DA7"/>
    <w:rsid w:val="00615A88"/>
    <w:rsid w:val="006174AD"/>
    <w:rsid w:val="006318DD"/>
    <w:rsid w:val="00636C0C"/>
    <w:rsid w:val="006373CC"/>
    <w:rsid w:val="00643FAA"/>
    <w:rsid w:val="00646A08"/>
    <w:rsid w:val="006518A2"/>
    <w:rsid w:val="00652EF8"/>
    <w:rsid w:val="00653F4D"/>
    <w:rsid w:val="006543D4"/>
    <w:rsid w:val="0065641E"/>
    <w:rsid w:val="0065781F"/>
    <w:rsid w:val="00661B08"/>
    <w:rsid w:val="00663C41"/>
    <w:rsid w:val="00665760"/>
    <w:rsid w:val="00665BF1"/>
    <w:rsid w:val="00673479"/>
    <w:rsid w:val="00684446"/>
    <w:rsid w:val="00685362"/>
    <w:rsid w:val="00691682"/>
    <w:rsid w:val="006A7F63"/>
    <w:rsid w:val="006B12DB"/>
    <w:rsid w:val="006B15B8"/>
    <w:rsid w:val="006B2710"/>
    <w:rsid w:val="006B3D84"/>
    <w:rsid w:val="006B59C4"/>
    <w:rsid w:val="006B6BE8"/>
    <w:rsid w:val="006C387C"/>
    <w:rsid w:val="006C4185"/>
    <w:rsid w:val="006C48E2"/>
    <w:rsid w:val="006C4B37"/>
    <w:rsid w:val="006D3D17"/>
    <w:rsid w:val="006D64E1"/>
    <w:rsid w:val="006E17F2"/>
    <w:rsid w:val="006E5CE0"/>
    <w:rsid w:val="006E65A1"/>
    <w:rsid w:val="006E7DFC"/>
    <w:rsid w:val="006F11CB"/>
    <w:rsid w:val="006F243B"/>
    <w:rsid w:val="006F3591"/>
    <w:rsid w:val="006F6FF4"/>
    <w:rsid w:val="00703404"/>
    <w:rsid w:val="00705358"/>
    <w:rsid w:val="00707830"/>
    <w:rsid w:val="00715AFF"/>
    <w:rsid w:val="007161B8"/>
    <w:rsid w:val="00716C72"/>
    <w:rsid w:val="00724661"/>
    <w:rsid w:val="00731AEE"/>
    <w:rsid w:val="007320D9"/>
    <w:rsid w:val="00732526"/>
    <w:rsid w:val="0073346C"/>
    <w:rsid w:val="00735C9B"/>
    <w:rsid w:val="0075278D"/>
    <w:rsid w:val="0075340B"/>
    <w:rsid w:val="00756D9A"/>
    <w:rsid w:val="0077627D"/>
    <w:rsid w:val="007804DD"/>
    <w:rsid w:val="00781FBE"/>
    <w:rsid w:val="00782AAF"/>
    <w:rsid w:val="00786777"/>
    <w:rsid w:val="007944DF"/>
    <w:rsid w:val="00795756"/>
    <w:rsid w:val="0079722A"/>
    <w:rsid w:val="00797EBB"/>
    <w:rsid w:val="007A0856"/>
    <w:rsid w:val="007A1869"/>
    <w:rsid w:val="007A1BEA"/>
    <w:rsid w:val="007A42D0"/>
    <w:rsid w:val="007A5EC9"/>
    <w:rsid w:val="007B0845"/>
    <w:rsid w:val="007B14E7"/>
    <w:rsid w:val="007B34D9"/>
    <w:rsid w:val="007B3A43"/>
    <w:rsid w:val="007B7B69"/>
    <w:rsid w:val="007C3F5C"/>
    <w:rsid w:val="007C493F"/>
    <w:rsid w:val="007C4E3D"/>
    <w:rsid w:val="007C5C8B"/>
    <w:rsid w:val="007D08FC"/>
    <w:rsid w:val="007E01B0"/>
    <w:rsid w:val="007E0A7D"/>
    <w:rsid w:val="0080067B"/>
    <w:rsid w:val="00801F03"/>
    <w:rsid w:val="00804E3B"/>
    <w:rsid w:val="00806ACA"/>
    <w:rsid w:val="008166C5"/>
    <w:rsid w:val="00816A60"/>
    <w:rsid w:val="008170C6"/>
    <w:rsid w:val="00822BA9"/>
    <w:rsid w:val="00823EAD"/>
    <w:rsid w:val="008252AB"/>
    <w:rsid w:val="0082685D"/>
    <w:rsid w:val="00833983"/>
    <w:rsid w:val="00837B97"/>
    <w:rsid w:val="00841E64"/>
    <w:rsid w:val="00844E37"/>
    <w:rsid w:val="00844F14"/>
    <w:rsid w:val="00860D42"/>
    <w:rsid w:val="00863CD6"/>
    <w:rsid w:val="008676AB"/>
    <w:rsid w:val="00875A59"/>
    <w:rsid w:val="00883897"/>
    <w:rsid w:val="00887CC8"/>
    <w:rsid w:val="0089198F"/>
    <w:rsid w:val="00894752"/>
    <w:rsid w:val="00896E24"/>
    <w:rsid w:val="008B0D0E"/>
    <w:rsid w:val="008B7C1B"/>
    <w:rsid w:val="008D0D84"/>
    <w:rsid w:val="008D19C8"/>
    <w:rsid w:val="008D1B8F"/>
    <w:rsid w:val="008D4671"/>
    <w:rsid w:val="008D4767"/>
    <w:rsid w:val="008D54B4"/>
    <w:rsid w:val="008D668D"/>
    <w:rsid w:val="008F0F97"/>
    <w:rsid w:val="008F7590"/>
    <w:rsid w:val="008F767D"/>
    <w:rsid w:val="00917A93"/>
    <w:rsid w:val="009205DE"/>
    <w:rsid w:val="00926CFF"/>
    <w:rsid w:val="00927018"/>
    <w:rsid w:val="00931DB7"/>
    <w:rsid w:val="0094769B"/>
    <w:rsid w:val="009501B9"/>
    <w:rsid w:val="0095044C"/>
    <w:rsid w:val="00950CE3"/>
    <w:rsid w:val="00954762"/>
    <w:rsid w:val="0095753E"/>
    <w:rsid w:val="00960270"/>
    <w:rsid w:val="009617DC"/>
    <w:rsid w:val="00964C67"/>
    <w:rsid w:val="0096543C"/>
    <w:rsid w:val="00966081"/>
    <w:rsid w:val="00970BDB"/>
    <w:rsid w:val="009803D7"/>
    <w:rsid w:val="00982730"/>
    <w:rsid w:val="00984FB0"/>
    <w:rsid w:val="00985058"/>
    <w:rsid w:val="00990601"/>
    <w:rsid w:val="009944BF"/>
    <w:rsid w:val="00996BD5"/>
    <w:rsid w:val="009C0F19"/>
    <w:rsid w:val="009C1D68"/>
    <w:rsid w:val="009C3686"/>
    <w:rsid w:val="009C4D99"/>
    <w:rsid w:val="009C6420"/>
    <w:rsid w:val="009D1A1F"/>
    <w:rsid w:val="009D21A3"/>
    <w:rsid w:val="009D5248"/>
    <w:rsid w:val="009E0617"/>
    <w:rsid w:val="009F358D"/>
    <w:rsid w:val="009F442E"/>
    <w:rsid w:val="009F6253"/>
    <w:rsid w:val="00A01285"/>
    <w:rsid w:val="00A045F5"/>
    <w:rsid w:val="00A05DA2"/>
    <w:rsid w:val="00A0654D"/>
    <w:rsid w:val="00A07376"/>
    <w:rsid w:val="00A10BE9"/>
    <w:rsid w:val="00A12F4B"/>
    <w:rsid w:val="00A16405"/>
    <w:rsid w:val="00A1693E"/>
    <w:rsid w:val="00A20485"/>
    <w:rsid w:val="00A2266E"/>
    <w:rsid w:val="00A22EE6"/>
    <w:rsid w:val="00A255A5"/>
    <w:rsid w:val="00A259C1"/>
    <w:rsid w:val="00A30DF0"/>
    <w:rsid w:val="00A35C7B"/>
    <w:rsid w:val="00A36F81"/>
    <w:rsid w:val="00A41C73"/>
    <w:rsid w:val="00A42330"/>
    <w:rsid w:val="00A44BE9"/>
    <w:rsid w:val="00A4647D"/>
    <w:rsid w:val="00A467D3"/>
    <w:rsid w:val="00A4712A"/>
    <w:rsid w:val="00A516C6"/>
    <w:rsid w:val="00A54CC1"/>
    <w:rsid w:val="00A56131"/>
    <w:rsid w:val="00A563DB"/>
    <w:rsid w:val="00A606DC"/>
    <w:rsid w:val="00A60930"/>
    <w:rsid w:val="00A60D19"/>
    <w:rsid w:val="00A64131"/>
    <w:rsid w:val="00A659DA"/>
    <w:rsid w:val="00A72ABD"/>
    <w:rsid w:val="00A913C4"/>
    <w:rsid w:val="00A9211B"/>
    <w:rsid w:val="00A938DB"/>
    <w:rsid w:val="00AA1BDF"/>
    <w:rsid w:val="00AA290F"/>
    <w:rsid w:val="00AA43D3"/>
    <w:rsid w:val="00AA4502"/>
    <w:rsid w:val="00AB0D04"/>
    <w:rsid w:val="00AB1931"/>
    <w:rsid w:val="00AC0A48"/>
    <w:rsid w:val="00AC1113"/>
    <w:rsid w:val="00AC71AC"/>
    <w:rsid w:val="00AD03A6"/>
    <w:rsid w:val="00AD219A"/>
    <w:rsid w:val="00AD3C78"/>
    <w:rsid w:val="00AD55E8"/>
    <w:rsid w:val="00AD5F1F"/>
    <w:rsid w:val="00AE6312"/>
    <w:rsid w:val="00AF08C3"/>
    <w:rsid w:val="00AF598E"/>
    <w:rsid w:val="00AF5BEF"/>
    <w:rsid w:val="00AF78F6"/>
    <w:rsid w:val="00B04F30"/>
    <w:rsid w:val="00B06133"/>
    <w:rsid w:val="00B10AB6"/>
    <w:rsid w:val="00B17C4A"/>
    <w:rsid w:val="00B20C36"/>
    <w:rsid w:val="00B23174"/>
    <w:rsid w:val="00B33212"/>
    <w:rsid w:val="00B36636"/>
    <w:rsid w:val="00B37B57"/>
    <w:rsid w:val="00B45A08"/>
    <w:rsid w:val="00B46061"/>
    <w:rsid w:val="00B470A4"/>
    <w:rsid w:val="00B52A55"/>
    <w:rsid w:val="00B52F0B"/>
    <w:rsid w:val="00B54D0B"/>
    <w:rsid w:val="00B5667B"/>
    <w:rsid w:val="00B61BA0"/>
    <w:rsid w:val="00B65380"/>
    <w:rsid w:val="00B713E5"/>
    <w:rsid w:val="00B722EC"/>
    <w:rsid w:val="00B72596"/>
    <w:rsid w:val="00B75181"/>
    <w:rsid w:val="00B75A00"/>
    <w:rsid w:val="00B80041"/>
    <w:rsid w:val="00B82E1D"/>
    <w:rsid w:val="00B85DE1"/>
    <w:rsid w:val="00B86224"/>
    <w:rsid w:val="00B87F0F"/>
    <w:rsid w:val="00B9091E"/>
    <w:rsid w:val="00B94AFF"/>
    <w:rsid w:val="00B95CED"/>
    <w:rsid w:val="00B97AD4"/>
    <w:rsid w:val="00BA1873"/>
    <w:rsid w:val="00BA359E"/>
    <w:rsid w:val="00BB0C37"/>
    <w:rsid w:val="00BB1934"/>
    <w:rsid w:val="00BB3067"/>
    <w:rsid w:val="00BB6644"/>
    <w:rsid w:val="00BC1AAA"/>
    <w:rsid w:val="00BC255D"/>
    <w:rsid w:val="00BC526F"/>
    <w:rsid w:val="00BC58C6"/>
    <w:rsid w:val="00BC593D"/>
    <w:rsid w:val="00BD089C"/>
    <w:rsid w:val="00BD33F1"/>
    <w:rsid w:val="00BD52EE"/>
    <w:rsid w:val="00BD7DB8"/>
    <w:rsid w:val="00BE001E"/>
    <w:rsid w:val="00BE670B"/>
    <w:rsid w:val="00C03B25"/>
    <w:rsid w:val="00C06B4D"/>
    <w:rsid w:val="00C11651"/>
    <w:rsid w:val="00C11F3A"/>
    <w:rsid w:val="00C16D1E"/>
    <w:rsid w:val="00C16F95"/>
    <w:rsid w:val="00C232E3"/>
    <w:rsid w:val="00C258BB"/>
    <w:rsid w:val="00C27831"/>
    <w:rsid w:val="00C35A04"/>
    <w:rsid w:val="00C37197"/>
    <w:rsid w:val="00C41AD8"/>
    <w:rsid w:val="00C430C9"/>
    <w:rsid w:val="00C47BBB"/>
    <w:rsid w:val="00C66911"/>
    <w:rsid w:val="00C66DC5"/>
    <w:rsid w:val="00C6724B"/>
    <w:rsid w:val="00C6726F"/>
    <w:rsid w:val="00C72666"/>
    <w:rsid w:val="00C77BD3"/>
    <w:rsid w:val="00C80EAF"/>
    <w:rsid w:val="00C85A3F"/>
    <w:rsid w:val="00C961DC"/>
    <w:rsid w:val="00CA1465"/>
    <w:rsid w:val="00CA173E"/>
    <w:rsid w:val="00CA58E1"/>
    <w:rsid w:val="00CB257F"/>
    <w:rsid w:val="00CB721E"/>
    <w:rsid w:val="00CB73D6"/>
    <w:rsid w:val="00CC3019"/>
    <w:rsid w:val="00CC69F8"/>
    <w:rsid w:val="00CC72CF"/>
    <w:rsid w:val="00CD0C69"/>
    <w:rsid w:val="00CE141E"/>
    <w:rsid w:val="00CF1E75"/>
    <w:rsid w:val="00CF2185"/>
    <w:rsid w:val="00CF322E"/>
    <w:rsid w:val="00CF3B21"/>
    <w:rsid w:val="00CF4C51"/>
    <w:rsid w:val="00CF5A90"/>
    <w:rsid w:val="00CF6A55"/>
    <w:rsid w:val="00D02556"/>
    <w:rsid w:val="00D02580"/>
    <w:rsid w:val="00D0647A"/>
    <w:rsid w:val="00D07461"/>
    <w:rsid w:val="00D237B8"/>
    <w:rsid w:val="00D25111"/>
    <w:rsid w:val="00D255E2"/>
    <w:rsid w:val="00D27F54"/>
    <w:rsid w:val="00D31C89"/>
    <w:rsid w:val="00D34182"/>
    <w:rsid w:val="00D35132"/>
    <w:rsid w:val="00D36E95"/>
    <w:rsid w:val="00D404DC"/>
    <w:rsid w:val="00D40530"/>
    <w:rsid w:val="00D4400A"/>
    <w:rsid w:val="00D527C3"/>
    <w:rsid w:val="00D53FAA"/>
    <w:rsid w:val="00D542D5"/>
    <w:rsid w:val="00D56A9F"/>
    <w:rsid w:val="00D56E49"/>
    <w:rsid w:val="00D60990"/>
    <w:rsid w:val="00D6190F"/>
    <w:rsid w:val="00D61C5D"/>
    <w:rsid w:val="00D6334F"/>
    <w:rsid w:val="00D65488"/>
    <w:rsid w:val="00D67871"/>
    <w:rsid w:val="00D76484"/>
    <w:rsid w:val="00D85942"/>
    <w:rsid w:val="00D932DC"/>
    <w:rsid w:val="00D960E5"/>
    <w:rsid w:val="00D96B6D"/>
    <w:rsid w:val="00DA2FAC"/>
    <w:rsid w:val="00DA447F"/>
    <w:rsid w:val="00DA4C97"/>
    <w:rsid w:val="00DA6395"/>
    <w:rsid w:val="00DA7300"/>
    <w:rsid w:val="00DB0D1A"/>
    <w:rsid w:val="00DB1432"/>
    <w:rsid w:val="00DB1788"/>
    <w:rsid w:val="00DE4E74"/>
    <w:rsid w:val="00DE663E"/>
    <w:rsid w:val="00DF014B"/>
    <w:rsid w:val="00DF0F7E"/>
    <w:rsid w:val="00DF5F50"/>
    <w:rsid w:val="00DF5FB4"/>
    <w:rsid w:val="00E060E4"/>
    <w:rsid w:val="00E0658F"/>
    <w:rsid w:val="00E11413"/>
    <w:rsid w:val="00E14392"/>
    <w:rsid w:val="00E2164B"/>
    <w:rsid w:val="00E250FA"/>
    <w:rsid w:val="00E25664"/>
    <w:rsid w:val="00E26855"/>
    <w:rsid w:val="00E2785D"/>
    <w:rsid w:val="00E27FBA"/>
    <w:rsid w:val="00E342D5"/>
    <w:rsid w:val="00E34E97"/>
    <w:rsid w:val="00E36020"/>
    <w:rsid w:val="00E40F93"/>
    <w:rsid w:val="00E4204A"/>
    <w:rsid w:val="00E432AE"/>
    <w:rsid w:val="00E476A1"/>
    <w:rsid w:val="00E504D3"/>
    <w:rsid w:val="00E548E6"/>
    <w:rsid w:val="00E57CD1"/>
    <w:rsid w:val="00E64418"/>
    <w:rsid w:val="00E667A4"/>
    <w:rsid w:val="00E700CA"/>
    <w:rsid w:val="00E73398"/>
    <w:rsid w:val="00E747BF"/>
    <w:rsid w:val="00E754CE"/>
    <w:rsid w:val="00E770B1"/>
    <w:rsid w:val="00E802A7"/>
    <w:rsid w:val="00E82203"/>
    <w:rsid w:val="00E864C1"/>
    <w:rsid w:val="00E867D7"/>
    <w:rsid w:val="00E901E6"/>
    <w:rsid w:val="00E91B78"/>
    <w:rsid w:val="00E91D58"/>
    <w:rsid w:val="00E9452A"/>
    <w:rsid w:val="00E978C3"/>
    <w:rsid w:val="00E97A3C"/>
    <w:rsid w:val="00E97D63"/>
    <w:rsid w:val="00EA6142"/>
    <w:rsid w:val="00EA7BD1"/>
    <w:rsid w:val="00EB264F"/>
    <w:rsid w:val="00EB2830"/>
    <w:rsid w:val="00EB4649"/>
    <w:rsid w:val="00EC03DD"/>
    <w:rsid w:val="00EC23D2"/>
    <w:rsid w:val="00ED2024"/>
    <w:rsid w:val="00ED248B"/>
    <w:rsid w:val="00ED2A0C"/>
    <w:rsid w:val="00ED406F"/>
    <w:rsid w:val="00ED4775"/>
    <w:rsid w:val="00EE089C"/>
    <w:rsid w:val="00EE222E"/>
    <w:rsid w:val="00EE549C"/>
    <w:rsid w:val="00F10977"/>
    <w:rsid w:val="00F17A5C"/>
    <w:rsid w:val="00F20C5F"/>
    <w:rsid w:val="00F24E47"/>
    <w:rsid w:val="00F26682"/>
    <w:rsid w:val="00F26EF8"/>
    <w:rsid w:val="00F30B1F"/>
    <w:rsid w:val="00F31F96"/>
    <w:rsid w:val="00F335E5"/>
    <w:rsid w:val="00F35CCD"/>
    <w:rsid w:val="00F361D3"/>
    <w:rsid w:val="00F37654"/>
    <w:rsid w:val="00F40119"/>
    <w:rsid w:val="00F402DC"/>
    <w:rsid w:val="00F4137D"/>
    <w:rsid w:val="00F44A7C"/>
    <w:rsid w:val="00F5227C"/>
    <w:rsid w:val="00F53B2D"/>
    <w:rsid w:val="00F56D75"/>
    <w:rsid w:val="00F63F33"/>
    <w:rsid w:val="00F66587"/>
    <w:rsid w:val="00F67D09"/>
    <w:rsid w:val="00F71BC4"/>
    <w:rsid w:val="00F8138E"/>
    <w:rsid w:val="00F81A4E"/>
    <w:rsid w:val="00F821B7"/>
    <w:rsid w:val="00F83127"/>
    <w:rsid w:val="00F83516"/>
    <w:rsid w:val="00F86E95"/>
    <w:rsid w:val="00F9280E"/>
    <w:rsid w:val="00F950B2"/>
    <w:rsid w:val="00FA02E2"/>
    <w:rsid w:val="00FA1757"/>
    <w:rsid w:val="00FA23A0"/>
    <w:rsid w:val="00FA6A8C"/>
    <w:rsid w:val="00FA787F"/>
    <w:rsid w:val="00FB13D1"/>
    <w:rsid w:val="00FB234B"/>
    <w:rsid w:val="00FB24AF"/>
    <w:rsid w:val="00FB2DCE"/>
    <w:rsid w:val="00FB499B"/>
    <w:rsid w:val="00FB6224"/>
    <w:rsid w:val="00FC0AF3"/>
    <w:rsid w:val="00FC7F07"/>
    <w:rsid w:val="00FD06BE"/>
    <w:rsid w:val="00FD16E9"/>
    <w:rsid w:val="00FD1E9B"/>
    <w:rsid w:val="00FD5987"/>
    <w:rsid w:val="00FD648A"/>
    <w:rsid w:val="00FD7CFD"/>
    <w:rsid w:val="00FE0DB1"/>
    <w:rsid w:val="00FE2A59"/>
    <w:rsid w:val="00FE5A59"/>
    <w:rsid w:val="00FF05D4"/>
    <w:rsid w:val="00FF081D"/>
    <w:rsid w:val="00FF58B9"/>
    <w:rsid w:val="00FF6BA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0005E8"/>
  <w15:chartTrackingRefBased/>
  <w15:docId w15:val="{AA9F6347-4A81-44F8-A22B-9C6BF79DA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 SarabunPSK" w:eastAsiaTheme="minorHAnsi" w:hAnsi="TH SarabunPSK" w:cs="TH SarabunPSK"/>
        <w:sz w:val="32"/>
        <w:szCs w:val="32"/>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4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34F2"/>
    <w:pPr>
      <w:tabs>
        <w:tab w:val="center" w:pos="4680"/>
        <w:tab w:val="right" w:pos="9360"/>
      </w:tabs>
      <w:spacing w:after="0" w:line="240" w:lineRule="auto"/>
    </w:pPr>
    <w:rPr>
      <w:rFonts w:cs="Angsana New"/>
      <w:szCs w:val="40"/>
    </w:rPr>
  </w:style>
  <w:style w:type="character" w:customStyle="1" w:styleId="HeaderChar">
    <w:name w:val="Header Char"/>
    <w:basedOn w:val="DefaultParagraphFont"/>
    <w:link w:val="Header"/>
    <w:uiPriority w:val="99"/>
    <w:rsid w:val="001534F2"/>
    <w:rPr>
      <w:rFonts w:cs="Angsana New"/>
      <w:szCs w:val="40"/>
    </w:rPr>
  </w:style>
  <w:style w:type="paragraph" w:styleId="Footer">
    <w:name w:val="footer"/>
    <w:basedOn w:val="Normal"/>
    <w:link w:val="FooterChar"/>
    <w:uiPriority w:val="99"/>
    <w:unhideWhenUsed/>
    <w:rsid w:val="001534F2"/>
    <w:pPr>
      <w:tabs>
        <w:tab w:val="center" w:pos="4680"/>
        <w:tab w:val="right" w:pos="9360"/>
      </w:tabs>
      <w:spacing w:after="0" w:line="240" w:lineRule="auto"/>
    </w:pPr>
    <w:rPr>
      <w:rFonts w:cs="Angsana New"/>
      <w:szCs w:val="40"/>
    </w:rPr>
  </w:style>
  <w:style w:type="character" w:customStyle="1" w:styleId="FooterChar">
    <w:name w:val="Footer Char"/>
    <w:basedOn w:val="DefaultParagraphFont"/>
    <w:link w:val="Footer"/>
    <w:uiPriority w:val="99"/>
    <w:rsid w:val="001534F2"/>
    <w:rPr>
      <w:rFonts w:cs="Angsana New"/>
      <w:szCs w:val="40"/>
    </w:rPr>
  </w:style>
  <w:style w:type="character" w:styleId="CommentReference">
    <w:name w:val="annotation reference"/>
    <w:aliases w:val="อ้างอิงคำอธิบายประกอบ"/>
    <w:basedOn w:val="DefaultParagraphFont"/>
    <w:uiPriority w:val="99"/>
    <w:unhideWhenUsed/>
    <w:rsid w:val="001534F2"/>
    <w:rPr>
      <w:sz w:val="16"/>
      <w:szCs w:val="16"/>
    </w:rPr>
  </w:style>
  <w:style w:type="paragraph" w:styleId="CommentText">
    <w:name w:val="annotation text"/>
    <w:aliases w:val="ข้อความอธิบายประกอบ,ข้อความอธิบายประกอบ1,ข้อความอธิบายประกอบ2,ข้อความอธิบายประกอบ3,ข้อความอธิบายประกอบ4"/>
    <w:basedOn w:val="Normal"/>
    <w:link w:val="CommentTextChar"/>
    <w:uiPriority w:val="99"/>
    <w:unhideWhenUsed/>
    <w:rsid w:val="001534F2"/>
    <w:pPr>
      <w:spacing w:line="240" w:lineRule="auto"/>
    </w:pPr>
    <w:rPr>
      <w:rFonts w:cs="Angsana New"/>
      <w:sz w:val="20"/>
      <w:szCs w:val="25"/>
    </w:rPr>
  </w:style>
  <w:style w:type="character" w:customStyle="1" w:styleId="CommentTextChar">
    <w:name w:val="Comment Text Char"/>
    <w:aliases w:val="ข้อความอธิบายประกอบ Char,ข้อความอธิบายประกอบ1 Char,ข้อความอธิบายประกอบ2 Char,ข้อความอธิบายประกอบ3 Char,ข้อความอธิบายประกอบ4 Char"/>
    <w:basedOn w:val="DefaultParagraphFont"/>
    <w:link w:val="CommentText"/>
    <w:uiPriority w:val="99"/>
    <w:rsid w:val="001534F2"/>
    <w:rPr>
      <w:rFonts w:cs="Angsana New"/>
      <w:sz w:val="20"/>
      <w:szCs w:val="25"/>
    </w:rPr>
  </w:style>
  <w:style w:type="table" w:styleId="TableGrid">
    <w:name w:val="Table Grid"/>
    <w:basedOn w:val="TableNormal"/>
    <w:uiPriority w:val="39"/>
    <w:rsid w:val="001534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อ้างอิงเชิงอรรถ"/>
    <w:basedOn w:val="DefaultParagraphFont"/>
    <w:uiPriority w:val="99"/>
    <w:semiHidden/>
    <w:unhideWhenUsed/>
    <w:rsid w:val="001534F2"/>
    <w:rPr>
      <w:vertAlign w:val="superscript"/>
    </w:rPr>
  </w:style>
  <w:style w:type="paragraph" w:styleId="FootnoteText">
    <w:name w:val="footnote text"/>
    <w:basedOn w:val="Normal"/>
    <w:link w:val="FootnoteTextChar"/>
    <w:uiPriority w:val="99"/>
    <w:unhideWhenUsed/>
    <w:rsid w:val="001534F2"/>
    <w:pPr>
      <w:spacing w:after="0" w:line="240" w:lineRule="auto"/>
    </w:pPr>
    <w:rPr>
      <w:rFonts w:cs="Angsana New"/>
      <w:sz w:val="20"/>
      <w:szCs w:val="25"/>
    </w:rPr>
  </w:style>
  <w:style w:type="character" w:customStyle="1" w:styleId="FootnoteTextChar">
    <w:name w:val="Footnote Text Char"/>
    <w:basedOn w:val="DefaultParagraphFont"/>
    <w:link w:val="FootnoteText"/>
    <w:uiPriority w:val="99"/>
    <w:rsid w:val="001534F2"/>
    <w:rPr>
      <w:rFonts w:cs="Angsana New"/>
      <w:sz w:val="20"/>
      <w:szCs w:val="25"/>
    </w:rPr>
  </w:style>
  <w:style w:type="paragraph" w:styleId="CommentSubject">
    <w:name w:val="annotation subject"/>
    <w:basedOn w:val="CommentText"/>
    <w:next w:val="CommentText"/>
    <w:link w:val="CommentSubjectChar"/>
    <w:uiPriority w:val="99"/>
    <w:semiHidden/>
    <w:unhideWhenUsed/>
    <w:rsid w:val="000F3761"/>
    <w:rPr>
      <w:b/>
      <w:bCs/>
    </w:rPr>
  </w:style>
  <w:style w:type="character" w:customStyle="1" w:styleId="CommentSubjectChar">
    <w:name w:val="Comment Subject Char"/>
    <w:basedOn w:val="CommentTextChar"/>
    <w:link w:val="CommentSubject"/>
    <w:uiPriority w:val="99"/>
    <w:semiHidden/>
    <w:rsid w:val="000F3761"/>
    <w:rPr>
      <w:rFonts w:cs="Angsana New"/>
      <w:b/>
      <w:bCs/>
      <w:sz w:val="20"/>
      <w:szCs w:val="25"/>
    </w:rPr>
  </w:style>
  <w:style w:type="paragraph" w:styleId="ListParagraph">
    <w:name w:val="List Paragraph"/>
    <w:basedOn w:val="Normal"/>
    <w:uiPriority w:val="34"/>
    <w:qFormat/>
    <w:rsid w:val="003D7076"/>
    <w:pPr>
      <w:spacing w:after="0" w:line="240" w:lineRule="auto"/>
      <w:ind w:left="720"/>
      <w:contextualSpacing/>
    </w:pPr>
    <w:rPr>
      <w:rFonts w:ascii="Angsana New" w:eastAsia="Times New Roman" w:hAnsi="Angsana New" w:cs="Angsana New"/>
      <w:sz w:val="24"/>
      <w:szCs w:val="40"/>
    </w:rPr>
  </w:style>
  <w:style w:type="paragraph" w:styleId="Revision">
    <w:name w:val="Revision"/>
    <w:hidden/>
    <w:uiPriority w:val="99"/>
    <w:semiHidden/>
    <w:rsid w:val="003F76F2"/>
    <w:pPr>
      <w:spacing w:after="0" w:line="240" w:lineRule="auto"/>
    </w:pPr>
    <w:rPr>
      <w:rFonts w:cs="Angsana New"/>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961062">
      <w:bodyDiv w:val="1"/>
      <w:marLeft w:val="0"/>
      <w:marRight w:val="0"/>
      <w:marTop w:val="0"/>
      <w:marBottom w:val="0"/>
      <w:divBdr>
        <w:top w:val="none" w:sz="0" w:space="0" w:color="auto"/>
        <w:left w:val="none" w:sz="0" w:space="0" w:color="auto"/>
        <w:bottom w:val="none" w:sz="0" w:space="0" w:color="auto"/>
        <w:right w:val="none" w:sz="0" w:space="0" w:color="auto"/>
      </w:divBdr>
    </w:div>
    <w:div w:id="672148993">
      <w:bodyDiv w:val="1"/>
      <w:marLeft w:val="0"/>
      <w:marRight w:val="0"/>
      <w:marTop w:val="0"/>
      <w:marBottom w:val="0"/>
      <w:divBdr>
        <w:top w:val="none" w:sz="0" w:space="0" w:color="auto"/>
        <w:left w:val="none" w:sz="0" w:space="0" w:color="auto"/>
        <w:bottom w:val="none" w:sz="0" w:space="0" w:color="auto"/>
        <w:right w:val="none" w:sz="0" w:space="0" w:color="auto"/>
      </w:divBdr>
    </w:div>
    <w:div w:id="713579560">
      <w:bodyDiv w:val="1"/>
      <w:marLeft w:val="0"/>
      <w:marRight w:val="0"/>
      <w:marTop w:val="0"/>
      <w:marBottom w:val="0"/>
      <w:divBdr>
        <w:top w:val="none" w:sz="0" w:space="0" w:color="auto"/>
        <w:left w:val="none" w:sz="0" w:space="0" w:color="auto"/>
        <w:bottom w:val="none" w:sz="0" w:space="0" w:color="auto"/>
        <w:right w:val="none" w:sz="0" w:space="0" w:color="auto"/>
      </w:divBdr>
    </w:div>
    <w:div w:id="957026102">
      <w:bodyDiv w:val="1"/>
      <w:marLeft w:val="0"/>
      <w:marRight w:val="0"/>
      <w:marTop w:val="0"/>
      <w:marBottom w:val="0"/>
      <w:divBdr>
        <w:top w:val="none" w:sz="0" w:space="0" w:color="auto"/>
        <w:left w:val="none" w:sz="0" w:space="0" w:color="auto"/>
        <w:bottom w:val="none" w:sz="0" w:space="0" w:color="auto"/>
        <w:right w:val="none" w:sz="0" w:space="0" w:color="auto"/>
      </w:divBdr>
    </w:div>
    <w:div w:id="1726366474">
      <w:bodyDiv w:val="1"/>
      <w:marLeft w:val="0"/>
      <w:marRight w:val="0"/>
      <w:marTop w:val="0"/>
      <w:marBottom w:val="0"/>
      <w:divBdr>
        <w:top w:val="none" w:sz="0" w:space="0" w:color="auto"/>
        <w:left w:val="none" w:sz="0" w:space="0" w:color="auto"/>
        <w:bottom w:val="none" w:sz="0" w:space="0" w:color="auto"/>
        <w:right w:val="none" w:sz="0" w:space="0" w:color="auto"/>
      </w:divBdr>
    </w:div>
    <w:div w:id="1933051063">
      <w:bodyDiv w:val="1"/>
      <w:marLeft w:val="0"/>
      <w:marRight w:val="0"/>
      <w:marTop w:val="0"/>
      <w:marBottom w:val="0"/>
      <w:divBdr>
        <w:top w:val="none" w:sz="0" w:space="0" w:color="auto"/>
        <w:left w:val="none" w:sz="0" w:space="0" w:color="auto"/>
        <w:bottom w:val="none" w:sz="0" w:space="0" w:color="auto"/>
        <w:right w:val="none" w:sz="0" w:space="0" w:color="auto"/>
      </w:divBdr>
    </w:div>
    <w:div w:id="2054496765">
      <w:bodyDiv w:val="1"/>
      <w:marLeft w:val="0"/>
      <w:marRight w:val="0"/>
      <w:marTop w:val="0"/>
      <w:marBottom w:val="0"/>
      <w:divBdr>
        <w:top w:val="none" w:sz="0" w:space="0" w:color="auto"/>
        <w:left w:val="none" w:sz="0" w:space="0" w:color="auto"/>
        <w:bottom w:val="none" w:sz="0" w:space="0" w:color="auto"/>
        <w:right w:val="none" w:sz="0" w:space="0" w:color="auto"/>
      </w:divBdr>
    </w:div>
    <w:div w:id="2087528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eb41fdc-75f0-4d74-92a4-15984fab348a" xsi:nil="true"/>
    <lcf76f155ced4ddcb4097134ff3c332f xmlns="4f7b99b8-5633-45e4-b1d6-3807719ff8a6">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SharedWithUsers xmlns="2eb41fdc-75f0-4d74-92a4-15984fab348a">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796E0F8C3081343B00DD9E005B22E3E" ma:contentTypeVersion="23" ma:contentTypeDescription="Create a new document." ma:contentTypeScope="" ma:versionID="b4a64b56571962b06eb6abdcb69214a6">
  <xsd:schema xmlns:xsd="http://www.w3.org/2001/XMLSchema" xmlns:xs="http://www.w3.org/2001/XMLSchema" xmlns:p="http://schemas.microsoft.com/office/2006/metadata/properties" xmlns:ns1="http://schemas.microsoft.com/sharepoint/v3" xmlns:ns2="4f7b99b8-5633-45e4-b1d6-3807719ff8a6" xmlns:ns3="2eb41fdc-75f0-4d74-92a4-15984fab348a" targetNamespace="http://schemas.microsoft.com/office/2006/metadata/properties" ma:root="true" ma:fieldsID="e38fec400ba1433b5e169fd0fdc60709" ns1:_="" ns2:_="" ns3:_="">
    <xsd:import namespace="http://schemas.microsoft.com/sharepoint/v3"/>
    <xsd:import namespace="4f7b99b8-5633-45e4-b1d6-3807719ff8a6"/>
    <xsd:import namespace="2eb41fdc-75f0-4d74-92a4-15984fab348a"/>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1:_ip_UnifiedCompliancePolicyProperties" minOccurs="0"/>
                <xsd:element ref="ns1:_ip_UnifiedCompliancePolicyUIAction"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7b99b8-5633-45e4-b1d6-3807719ff8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0f44897-c35e-4634-b1bc-cb8acb182fd6"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b41fdc-75f0-4d74-92a4-15984fab348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ffa2b43-c6c8-4896-afa0-c82892a29dae}" ma:internalName="TaxCatchAll" ma:showField="CatchAllData" ma:web="2eb41fdc-75f0-4d74-92a4-15984fab34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424DD8-9751-4228-B8C2-20F071388B60}">
  <ds:schemaRefs>
    <ds:schemaRef ds:uri="http://schemas.microsoft.com/sharepoint/v3/contenttype/forms"/>
  </ds:schemaRefs>
</ds:datastoreItem>
</file>

<file path=customXml/itemProps2.xml><?xml version="1.0" encoding="utf-8"?>
<ds:datastoreItem xmlns:ds="http://schemas.openxmlformats.org/officeDocument/2006/customXml" ds:itemID="{522D2E61-C3CB-4994-A325-2590D4ECD704}">
  <ds:schemaRefs>
    <ds:schemaRef ds:uri="http://schemas.microsoft.com/office/2006/metadata/properties"/>
    <ds:schemaRef ds:uri="http://schemas.microsoft.com/office/infopath/2007/PartnerControls"/>
    <ds:schemaRef ds:uri="2eb41fdc-75f0-4d74-92a4-15984fab348a"/>
    <ds:schemaRef ds:uri="4f7b99b8-5633-45e4-b1d6-3807719ff8a6"/>
    <ds:schemaRef ds:uri="http://schemas.microsoft.com/sharepoint/v3"/>
  </ds:schemaRefs>
</ds:datastoreItem>
</file>

<file path=customXml/itemProps3.xml><?xml version="1.0" encoding="utf-8"?>
<ds:datastoreItem xmlns:ds="http://schemas.openxmlformats.org/officeDocument/2006/customXml" ds:itemID="{C56A222B-A4AC-4BC4-A505-5AF8457D726D}"/>
</file>

<file path=customXml/itemProps4.xml><?xml version="1.0" encoding="utf-8"?>
<ds:datastoreItem xmlns:ds="http://schemas.openxmlformats.org/officeDocument/2006/customXml" ds:itemID="{898C1F47-B518-4377-9C3C-4F4EE19D1797}">
  <ds:schemaRefs>
    <ds:schemaRef ds:uri="http://schemas.openxmlformats.org/officeDocument/2006/bibliography"/>
  </ds:schemaRefs>
</ds:datastoreItem>
</file>

<file path=docMetadata/LabelInfo.xml><?xml version="1.0" encoding="utf-8"?>
<clbl:labelList xmlns:clbl="http://schemas.microsoft.com/office/2020/mipLabelMetadata">
  <clbl:label id="{93a13704-be5e-4c4e-997b-ac174f3dc22e}" enabled="1" method="Privileged" siteId="{0ad5298e-296d-45ab-a446-c0d364c5b18b}" removed="0"/>
</clbl:labelList>
</file>

<file path=docProps/app.xml><?xml version="1.0" encoding="utf-8"?>
<Properties xmlns="http://schemas.openxmlformats.org/officeDocument/2006/extended-properties" xmlns:vt="http://schemas.openxmlformats.org/officeDocument/2006/docPropsVTypes">
  <Template>Normal.dotm</Template>
  <TotalTime>22</TotalTime>
  <Pages>3</Pages>
  <Words>718</Words>
  <Characters>3933</Characters>
  <Application>Microsoft Office Word</Application>
  <DocSecurity>0</DocSecurity>
  <Lines>83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Suparat Chandrachoti sanglek</dc:creator>
  <cp:keywords/>
  <dc:description/>
  <cp:lastModifiedBy>Natcha Charudhanes</cp:lastModifiedBy>
  <cp:revision>14</cp:revision>
  <cp:lastPrinted>2022-09-29T12:13:00Z</cp:lastPrinted>
  <dcterms:created xsi:type="dcterms:W3CDTF">2026-08-17T15:15:00Z</dcterms:created>
  <dcterms:modified xsi:type="dcterms:W3CDTF">2026-08-21T06:41:00Z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0x0101003796E0F8C3081343B00DD9E005B22E3E</vt:lpwstr>
  </property>
  <property fmtid="{D5CDD505-2E9C-101B-9397-08002B2CF9AE}" pid="3" name="MediaServiceImageTags">
    <vt:lpwstr/>
  </property>
  <property fmtid="{D5CDD505-2E9C-101B-9397-08002B2CF9AE}" pid="4" name="MSIP_Label_93a13704-be5e-4c4e-997b-ac174f3dc22e_Enabled">
    <vt:lpwstr>true</vt:lpwstr>
  </property>
  <property fmtid="{D5CDD505-2E9C-101B-9397-08002B2CF9AE}" pid="5" name="MSIP_Label_93a13704-be5e-4c4e-997b-ac174f3dc22e_SetDate">
    <vt:lpwstr>2022-09-29T12:12:55Z</vt:lpwstr>
  </property>
  <property fmtid="{D5CDD505-2E9C-101B-9397-08002B2CF9AE}" pid="6" name="MSIP_Label_93a13704-be5e-4c4e-997b-ac174f3dc22e_Method">
    <vt:lpwstr>Privileged</vt:lpwstr>
  </property>
  <property fmtid="{D5CDD505-2E9C-101B-9397-08002B2CF9AE}" pid="7" name="MSIP_Label_93a13704-be5e-4c4e-997b-ac174f3dc22e_Name">
    <vt:lpwstr>Public</vt:lpwstr>
  </property>
  <property fmtid="{D5CDD505-2E9C-101B-9397-08002B2CF9AE}" pid="8" name="MSIP_Label_93a13704-be5e-4c4e-997b-ac174f3dc22e_SiteId">
    <vt:lpwstr>0ad5298e-296d-45ab-a446-c0d364c5b18b</vt:lpwstr>
  </property>
  <property fmtid="{D5CDD505-2E9C-101B-9397-08002B2CF9AE}" pid="9" name="MSIP_Label_93a13704-be5e-4c4e-997b-ac174f3dc22e_ActionId">
    <vt:lpwstr>93518a1c-a772-408d-87fc-ce37f8a63ef4</vt:lpwstr>
  </property>
  <property fmtid="{D5CDD505-2E9C-101B-9397-08002B2CF9AE}" pid="10" name="MSIP_Label_93a13704-be5e-4c4e-997b-ac174f3dc22e_ContentBits">
    <vt:lpwstr>0</vt:lpwstr>
  </property>
  <property fmtid="{D5CDD505-2E9C-101B-9397-08002B2CF9AE}" pid="11" name="ComplianceAssetId">
    <vt:lpwstr/>
  </property>
  <property fmtid="{D5CDD505-2E9C-101B-9397-08002B2CF9AE}" pid="12" name="_ExtendedDescription">
    <vt:lpwstr/>
  </property>
  <property fmtid="{D5CDD505-2E9C-101B-9397-08002B2CF9AE}" pid="13" name="docLang">
    <vt:lpwstr>en</vt:lpwstr>
  </property>
  <property fmtid="{D5CDD505-2E9C-101B-9397-08002B2CF9AE}" pid="14" name="TriggerFlowInfo">
    <vt:lpwstr/>
  </property>
</Properties>
</file>