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CD014" w14:textId="5F7D8720" w:rsidR="00346526" w:rsidRPr="00D6777B" w:rsidRDefault="0092067D" w:rsidP="00346526">
      <w:pPr>
        <w:jc w:val="center"/>
        <w:rPr>
          <w:sz w:val="32"/>
          <w:szCs w:val="32"/>
        </w:rPr>
      </w:pPr>
      <w:r w:rsidRPr="00D6777B">
        <w:rPr>
          <w:sz w:val="32"/>
          <w:szCs w:val="32"/>
        </w:rPr>
        <w:t xml:space="preserve"> </w:t>
      </w:r>
    </w:p>
    <w:p w14:paraId="4A1E022E" w14:textId="17405046" w:rsidR="00346526" w:rsidRPr="00D6777B" w:rsidRDefault="00346526" w:rsidP="00346526">
      <w:pPr>
        <w:jc w:val="center"/>
        <w:rPr>
          <w:sz w:val="32"/>
          <w:szCs w:val="32"/>
        </w:rPr>
      </w:pPr>
      <w:r w:rsidRPr="00D6777B">
        <w:rPr>
          <w:sz w:val="32"/>
          <w:szCs w:val="32"/>
        </w:rPr>
        <w:t>Notification of the Office of the Securities and Exchange Commission</w:t>
      </w:r>
      <w:r w:rsidR="00F5019D" w:rsidRPr="00D6777B">
        <w:rPr>
          <w:sz w:val="32"/>
          <w:szCs w:val="32"/>
          <w:cs/>
        </w:rPr>
        <w:t xml:space="preserve"> </w:t>
      </w:r>
      <w:r w:rsidR="00F5019D" w:rsidRPr="00D6777B">
        <w:rPr>
          <w:sz w:val="32"/>
          <w:szCs w:val="32"/>
          <w:cs/>
        </w:rPr>
        <w:br/>
      </w:r>
      <w:r w:rsidRPr="00D6777B">
        <w:rPr>
          <w:sz w:val="32"/>
          <w:szCs w:val="32"/>
        </w:rPr>
        <w:t xml:space="preserve">No. Nor Por. </w:t>
      </w:r>
      <w:r w:rsidR="00122804" w:rsidRPr="00D6777B">
        <w:rPr>
          <w:sz w:val="32"/>
          <w:szCs w:val="32"/>
        </w:rPr>
        <w:t>6</w:t>
      </w:r>
      <w:r w:rsidRPr="00D6777B">
        <w:rPr>
          <w:sz w:val="32"/>
          <w:szCs w:val="32"/>
        </w:rPr>
        <w:t>/256</w:t>
      </w:r>
      <w:r w:rsidR="00122804" w:rsidRPr="00D6777B">
        <w:rPr>
          <w:rFonts w:hint="cs"/>
          <w:sz w:val="32"/>
          <w:szCs w:val="32"/>
          <w:cs/>
        </w:rPr>
        <w:t>7</w:t>
      </w:r>
      <w:r w:rsidR="00F5019D" w:rsidRPr="00D6777B">
        <w:rPr>
          <w:sz w:val="32"/>
          <w:szCs w:val="32"/>
          <w:cs/>
        </w:rPr>
        <w:br/>
      </w:r>
      <w:r w:rsidRPr="00D6777B">
        <w:rPr>
          <w:sz w:val="32"/>
          <w:szCs w:val="32"/>
        </w:rPr>
        <w:t>Re: Guidelines on Establishment of Information Technology Systems</w:t>
      </w:r>
    </w:p>
    <w:p w14:paraId="7C4687E8" w14:textId="77777777" w:rsidR="00346526" w:rsidRPr="00D6777B" w:rsidRDefault="00346526" w:rsidP="00346526">
      <w:pPr>
        <w:jc w:val="center"/>
        <w:rPr>
          <w:sz w:val="32"/>
          <w:szCs w:val="32"/>
        </w:rPr>
      </w:pPr>
      <w:r w:rsidRPr="00D6777B">
        <w:rPr>
          <w:sz w:val="32"/>
          <w:szCs w:val="32"/>
        </w:rPr>
        <w:t>_______________________________</w:t>
      </w:r>
    </w:p>
    <w:p w14:paraId="045EFF04" w14:textId="2D01AE5E" w:rsidR="00346526" w:rsidRPr="00D6777B" w:rsidRDefault="00346526" w:rsidP="00346526">
      <w:pPr>
        <w:rPr>
          <w:sz w:val="32"/>
          <w:szCs w:val="32"/>
        </w:rPr>
      </w:pPr>
      <w:r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ab/>
      </w:r>
    </w:p>
    <w:p w14:paraId="38D8D062" w14:textId="4E57CE3A" w:rsidR="00346526" w:rsidRPr="00D6777B" w:rsidRDefault="00346526" w:rsidP="00346526">
      <w:pPr>
        <w:rPr>
          <w:sz w:val="32"/>
          <w:szCs w:val="32"/>
        </w:rPr>
      </w:pPr>
      <w:r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ab/>
        <w:t xml:space="preserve">Whereas the </w:t>
      </w:r>
      <w:r w:rsidRPr="00D6777B">
        <w:rPr>
          <w:i/>
          <w:iCs/>
          <w:sz w:val="32"/>
          <w:szCs w:val="32"/>
        </w:rPr>
        <w:t xml:space="preserve">Notification of the Securities and Exchange Commission No. </w:t>
      </w:r>
      <w:r w:rsidR="00E9729F" w:rsidRPr="00D6777B">
        <w:rPr>
          <w:i/>
          <w:iCs/>
          <w:sz w:val="32"/>
          <w:szCs w:val="32"/>
        </w:rPr>
        <w:t>K</w:t>
      </w:r>
      <w:r w:rsidRPr="00D6777B">
        <w:rPr>
          <w:i/>
          <w:iCs/>
          <w:sz w:val="32"/>
          <w:szCs w:val="32"/>
        </w:rPr>
        <w:t>or Jor.</w:t>
      </w:r>
      <w:r w:rsidRPr="00D6777B">
        <w:rPr>
          <w:i/>
          <w:iCs/>
          <w:sz w:val="32"/>
          <w:szCs w:val="32"/>
          <w:cs/>
        </w:rPr>
        <w:t xml:space="preserve"> </w:t>
      </w:r>
      <w:r w:rsidRPr="00D6777B">
        <w:rPr>
          <w:i/>
          <w:iCs/>
          <w:sz w:val="32"/>
          <w:szCs w:val="32"/>
        </w:rPr>
        <w:t xml:space="preserve">16/2561 Re: </w:t>
      </w:r>
      <w:r w:rsidR="00E9729F" w:rsidRPr="00D6777B">
        <w:rPr>
          <w:i/>
          <w:iCs/>
          <w:sz w:val="32"/>
          <w:szCs w:val="32"/>
        </w:rPr>
        <w:t>Rules</w:t>
      </w:r>
      <w:r w:rsidRPr="00D6777B">
        <w:rPr>
          <w:i/>
          <w:iCs/>
          <w:sz w:val="32"/>
          <w:szCs w:val="32"/>
        </w:rPr>
        <w:t xml:space="preserve">, </w:t>
      </w:r>
      <w:r w:rsidR="00E9729F" w:rsidRPr="00D6777B">
        <w:rPr>
          <w:i/>
          <w:iCs/>
          <w:sz w:val="32"/>
          <w:szCs w:val="32"/>
        </w:rPr>
        <w:t>Conditions and</w:t>
      </w:r>
      <w:r w:rsidRPr="00D6777B">
        <w:rPr>
          <w:i/>
          <w:iCs/>
          <w:sz w:val="32"/>
          <w:szCs w:val="32"/>
        </w:rPr>
        <w:t xml:space="preserve"> Procedure</w:t>
      </w:r>
      <w:r w:rsidR="00E9729F" w:rsidRPr="00D6777B">
        <w:rPr>
          <w:i/>
          <w:iCs/>
          <w:sz w:val="32"/>
          <w:szCs w:val="32"/>
        </w:rPr>
        <w:t>s</w:t>
      </w:r>
      <w:r w:rsidRPr="00D6777B">
        <w:rPr>
          <w:i/>
          <w:iCs/>
          <w:sz w:val="32"/>
          <w:szCs w:val="32"/>
        </w:rPr>
        <w:t xml:space="preserve"> for Approval of an ICO Portal Service Provider, </w:t>
      </w:r>
      <w:r w:rsidRPr="00D6777B">
        <w:rPr>
          <w:sz w:val="32"/>
          <w:szCs w:val="32"/>
        </w:rPr>
        <w:t>dated 3 July 2018, as amended,</w:t>
      </w:r>
      <w:r w:rsidRPr="00D6777B">
        <w:rPr>
          <w:i/>
          <w:iCs/>
          <w:sz w:val="32"/>
          <w:szCs w:val="32"/>
        </w:rPr>
        <w:t xml:space="preserve"> </w:t>
      </w:r>
      <w:r w:rsidRPr="00D6777B">
        <w:rPr>
          <w:sz w:val="32"/>
          <w:szCs w:val="32"/>
        </w:rPr>
        <w:t>(“</w:t>
      </w:r>
      <w:r w:rsidR="00E9729F" w:rsidRPr="00D6777B">
        <w:rPr>
          <w:i/>
          <w:iCs/>
          <w:sz w:val="32"/>
          <w:szCs w:val="32"/>
        </w:rPr>
        <w:t xml:space="preserve">SEC </w:t>
      </w:r>
      <w:r w:rsidRPr="00D6777B">
        <w:rPr>
          <w:i/>
          <w:iCs/>
          <w:sz w:val="32"/>
          <w:szCs w:val="32"/>
        </w:rPr>
        <w:t xml:space="preserve">Notification No. </w:t>
      </w:r>
      <w:r w:rsidR="00E9729F" w:rsidRPr="00D6777B">
        <w:rPr>
          <w:i/>
          <w:iCs/>
          <w:sz w:val="32"/>
          <w:szCs w:val="32"/>
        </w:rPr>
        <w:t>K</w:t>
      </w:r>
      <w:r w:rsidRPr="00D6777B">
        <w:rPr>
          <w:i/>
          <w:iCs/>
          <w:sz w:val="32"/>
          <w:szCs w:val="32"/>
        </w:rPr>
        <w:t>or Jor. 16/2561</w:t>
      </w:r>
      <w:r w:rsidRPr="00D6777B">
        <w:rPr>
          <w:sz w:val="32"/>
          <w:szCs w:val="32"/>
        </w:rPr>
        <w:t>”)</w:t>
      </w:r>
      <w:r w:rsidRPr="00D6777B">
        <w:rPr>
          <w:i/>
          <w:iCs/>
          <w:sz w:val="32"/>
          <w:szCs w:val="32"/>
        </w:rPr>
        <w:t xml:space="preserve">, </w:t>
      </w:r>
      <w:r w:rsidRPr="00D6777B">
        <w:rPr>
          <w:sz w:val="32"/>
          <w:szCs w:val="32"/>
        </w:rPr>
        <w:t>the</w:t>
      </w:r>
      <w:r w:rsidRPr="00D6777B">
        <w:rPr>
          <w:i/>
          <w:iCs/>
          <w:sz w:val="32"/>
          <w:szCs w:val="32"/>
        </w:rPr>
        <w:t xml:space="preserve"> Notification of the Securities and Exchange Commission No. </w:t>
      </w:r>
      <w:r w:rsidR="00E9729F" w:rsidRPr="00D6777B">
        <w:rPr>
          <w:i/>
          <w:iCs/>
          <w:sz w:val="32"/>
          <w:szCs w:val="32"/>
        </w:rPr>
        <w:t>K</w:t>
      </w:r>
      <w:r w:rsidRPr="00D6777B">
        <w:rPr>
          <w:i/>
          <w:iCs/>
          <w:sz w:val="32"/>
          <w:szCs w:val="32"/>
        </w:rPr>
        <w:t xml:space="preserve">or Thor. 19/2561 Re: Rules, Conditions and Procedures for Undertaking Digital Asset Businesses, </w:t>
      </w:r>
      <w:r w:rsidRPr="00D6777B">
        <w:rPr>
          <w:sz w:val="32"/>
          <w:szCs w:val="32"/>
        </w:rPr>
        <w:t>dated 3 July 2018, as amended, (“</w:t>
      </w:r>
      <w:r w:rsidR="00E9729F" w:rsidRPr="00D6777B">
        <w:rPr>
          <w:i/>
          <w:iCs/>
          <w:sz w:val="32"/>
          <w:szCs w:val="32"/>
        </w:rPr>
        <w:t xml:space="preserve">SEC </w:t>
      </w:r>
      <w:r w:rsidRPr="00D6777B">
        <w:rPr>
          <w:i/>
          <w:iCs/>
          <w:sz w:val="32"/>
          <w:szCs w:val="32"/>
        </w:rPr>
        <w:t xml:space="preserve">Notification No. </w:t>
      </w:r>
      <w:r w:rsidR="00E9729F" w:rsidRPr="00D6777B">
        <w:rPr>
          <w:i/>
          <w:iCs/>
          <w:sz w:val="32"/>
          <w:szCs w:val="32"/>
        </w:rPr>
        <w:t>K</w:t>
      </w:r>
      <w:r w:rsidRPr="00D6777B">
        <w:rPr>
          <w:i/>
          <w:iCs/>
          <w:sz w:val="32"/>
          <w:szCs w:val="32"/>
        </w:rPr>
        <w:t>or Thor. 19/2561</w:t>
      </w:r>
      <w:r w:rsidRPr="00D6777B">
        <w:rPr>
          <w:sz w:val="32"/>
          <w:szCs w:val="32"/>
        </w:rPr>
        <w:t>”)</w:t>
      </w:r>
      <w:r w:rsidRPr="00D6777B">
        <w:rPr>
          <w:i/>
          <w:iCs/>
          <w:sz w:val="32"/>
          <w:szCs w:val="32"/>
        </w:rPr>
        <w:t xml:space="preserve">, </w:t>
      </w:r>
      <w:r w:rsidRPr="00D6777B">
        <w:rPr>
          <w:sz w:val="32"/>
          <w:szCs w:val="32"/>
        </w:rPr>
        <w:t>the</w:t>
      </w:r>
      <w:r w:rsidRPr="00D6777B">
        <w:rPr>
          <w:i/>
          <w:iCs/>
          <w:sz w:val="32"/>
          <w:szCs w:val="32"/>
        </w:rPr>
        <w:t xml:space="preserve"> Notification of the Capital Market Supervisory Board No. Tor Thor. 35/2556 Re: Standard Conduct of Business, Management Arrangement, Operating Systems, and Providing Services to Clients of Securities Companies and Derivatives Intermediaries</w:t>
      </w:r>
      <w:r w:rsidRPr="00D6777B">
        <w:rPr>
          <w:sz w:val="32"/>
          <w:szCs w:val="32"/>
        </w:rPr>
        <w:t>, dated 6 September 2013, as amended, (“</w:t>
      </w:r>
      <w:r w:rsidR="00E9729F" w:rsidRPr="00D6777B">
        <w:rPr>
          <w:i/>
          <w:iCs/>
          <w:sz w:val="32"/>
          <w:szCs w:val="32"/>
        </w:rPr>
        <w:t xml:space="preserve">CMSB </w:t>
      </w:r>
      <w:r w:rsidRPr="00D6777B">
        <w:rPr>
          <w:i/>
          <w:iCs/>
          <w:sz w:val="32"/>
          <w:szCs w:val="32"/>
        </w:rPr>
        <w:t>Notification No. Tor Thor. 35/2556</w:t>
      </w:r>
      <w:r w:rsidRPr="00D6777B">
        <w:rPr>
          <w:sz w:val="32"/>
          <w:szCs w:val="32"/>
        </w:rPr>
        <w:t xml:space="preserve">”), the </w:t>
      </w:r>
      <w:r w:rsidRPr="00D6777B">
        <w:rPr>
          <w:i/>
          <w:iCs/>
          <w:sz w:val="32"/>
          <w:szCs w:val="32"/>
        </w:rPr>
        <w:t xml:space="preserve">Notification of the Capital Market Supervisory Board No. Tor Thor. 30/2559 Re: Rules for Operation of Derivatives Exchanges, </w:t>
      </w:r>
      <w:r w:rsidRPr="00D6777B">
        <w:rPr>
          <w:sz w:val="32"/>
          <w:szCs w:val="32"/>
        </w:rPr>
        <w:t xml:space="preserve">dated 3 August 2016, </w:t>
      </w:r>
      <w:bookmarkStart w:id="0" w:name="_Hlk123234897"/>
      <w:r w:rsidRPr="00D6777B">
        <w:rPr>
          <w:sz w:val="32"/>
          <w:szCs w:val="32"/>
        </w:rPr>
        <w:t>(“</w:t>
      </w:r>
      <w:r w:rsidR="001E018D" w:rsidRPr="00D6777B">
        <w:rPr>
          <w:i/>
          <w:iCs/>
          <w:sz w:val="32"/>
          <w:szCs w:val="32"/>
        </w:rPr>
        <w:t xml:space="preserve">CMSB </w:t>
      </w:r>
      <w:r w:rsidRPr="00D6777B">
        <w:rPr>
          <w:i/>
          <w:iCs/>
          <w:sz w:val="32"/>
          <w:szCs w:val="32"/>
        </w:rPr>
        <w:t>Notification No. Tor Thor. 30/2559</w:t>
      </w:r>
      <w:r w:rsidRPr="00D6777B">
        <w:rPr>
          <w:sz w:val="32"/>
          <w:szCs w:val="32"/>
        </w:rPr>
        <w:t>”)</w:t>
      </w:r>
      <w:bookmarkEnd w:id="0"/>
      <w:r w:rsidRPr="00D6777B">
        <w:rPr>
          <w:sz w:val="32"/>
          <w:szCs w:val="32"/>
        </w:rPr>
        <w:t xml:space="preserve">, the </w:t>
      </w:r>
      <w:r w:rsidRPr="00D6777B">
        <w:rPr>
          <w:i/>
          <w:iCs/>
          <w:sz w:val="32"/>
          <w:szCs w:val="32"/>
        </w:rPr>
        <w:t>Notification of the Capital Market Supervisory Board No. Tor Thor. 31/2559 Re: Rules for Operation of Derivatives Clearing Houses</w:t>
      </w:r>
      <w:r w:rsidRPr="00D6777B">
        <w:rPr>
          <w:sz w:val="32"/>
          <w:szCs w:val="32"/>
        </w:rPr>
        <w:t>, dated 3 August 2016, (“</w:t>
      </w:r>
      <w:r w:rsidR="001E018D" w:rsidRPr="00D6777B">
        <w:rPr>
          <w:i/>
          <w:iCs/>
          <w:sz w:val="32"/>
          <w:szCs w:val="32"/>
        </w:rPr>
        <w:t xml:space="preserve">CMSB </w:t>
      </w:r>
      <w:r w:rsidRPr="00D6777B">
        <w:rPr>
          <w:i/>
          <w:iCs/>
          <w:sz w:val="32"/>
          <w:szCs w:val="32"/>
        </w:rPr>
        <w:t>Notification No. Tor Thor. 31/2559</w:t>
      </w:r>
      <w:r w:rsidRPr="00D6777B">
        <w:rPr>
          <w:sz w:val="32"/>
          <w:szCs w:val="32"/>
        </w:rPr>
        <w:t xml:space="preserve">”), the </w:t>
      </w:r>
      <w:r w:rsidRPr="00D6777B">
        <w:rPr>
          <w:i/>
          <w:iCs/>
          <w:sz w:val="32"/>
          <w:szCs w:val="32"/>
        </w:rPr>
        <w:t>Notification of the Capital Market Supervisory Board No. Tor Thor. 32/2559 Re:</w:t>
      </w:r>
      <w:r w:rsidRPr="00D6777B">
        <w:rPr>
          <w:sz w:val="32"/>
          <w:szCs w:val="32"/>
        </w:rPr>
        <w:t xml:space="preserve"> </w:t>
      </w:r>
      <w:r w:rsidRPr="00D6777B">
        <w:rPr>
          <w:i/>
          <w:iCs/>
          <w:sz w:val="32"/>
          <w:szCs w:val="32"/>
        </w:rPr>
        <w:t xml:space="preserve">Rules, Conditions and Procedures for Operation of Securities Clearing Houses and Central Securities Depositories, </w:t>
      </w:r>
      <w:r w:rsidRPr="00D6777B">
        <w:rPr>
          <w:sz w:val="32"/>
          <w:szCs w:val="32"/>
        </w:rPr>
        <w:t>dated 3 August 2016, (“</w:t>
      </w:r>
      <w:r w:rsidR="001E018D" w:rsidRPr="00D6777B">
        <w:rPr>
          <w:i/>
          <w:iCs/>
          <w:sz w:val="32"/>
          <w:szCs w:val="32"/>
        </w:rPr>
        <w:t xml:space="preserve">CMSB </w:t>
      </w:r>
      <w:r w:rsidRPr="00D6777B">
        <w:rPr>
          <w:i/>
          <w:iCs/>
          <w:sz w:val="32"/>
          <w:szCs w:val="32"/>
        </w:rPr>
        <w:t>Notification No. Tor Thor. 32/2559</w:t>
      </w:r>
      <w:r w:rsidRPr="00D6777B">
        <w:rPr>
          <w:sz w:val="32"/>
          <w:szCs w:val="32"/>
        </w:rPr>
        <w:t xml:space="preserve">”), the </w:t>
      </w:r>
      <w:r w:rsidRPr="00D6777B">
        <w:rPr>
          <w:i/>
          <w:iCs/>
          <w:sz w:val="32"/>
          <w:szCs w:val="32"/>
        </w:rPr>
        <w:t xml:space="preserve">Notification of the Capital Market Supervisory Board No. Tor Jor. 21/2562 Re: Offering of Securities for Sale through </w:t>
      </w:r>
      <w:r w:rsidRPr="00D6777B">
        <w:rPr>
          <w:i/>
          <w:iCs/>
          <w:sz w:val="32"/>
          <w:szCs w:val="32"/>
        </w:rPr>
        <w:lastRenderedPageBreak/>
        <w:t>Crowdfunding Portals</w:t>
      </w:r>
      <w:r w:rsidRPr="00D6777B">
        <w:rPr>
          <w:sz w:val="32"/>
          <w:szCs w:val="32"/>
        </w:rPr>
        <w:t>, dated 12 April 2019, as amended, (“</w:t>
      </w:r>
      <w:r w:rsidR="001E018D" w:rsidRPr="00D6777B">
        <w:rPr>
          <w:i/>
          <w:iCs/>
          <w:sz w:val="32"/>
          <w:szCs w:val="32"/>
        </w:rPr>
        <w:t xml:space="preserve">CMSB </w:t>
      </w:r>
      <w:r w:rsidRPr="00D6777B">
        <w:rPr>
          <w:i/>
          <w:iCs/>
          <w:sz w:val="32"/>
          <w:szCs w:val="32"/>
        </w:rPr>
        <w:t>Notification No. Tor Jor. 21/2562),</w:t>
      </w:r>
      <w:r w:rsidRPr="00D6777B">
        <w:rPr>
          <w:sz w:val="32"/>
          <w:szCs w:val="32"/>
        </w:rPr>
        <w:t xml:space="preserve"> and the </w:t>
      </w:r>
      <w:r w:rsidRPr="00D6777B">
        <w:rPr>
          <w:i/>
          <w:iCs/>
          <w:sz w:val="32"/>
          <w:szCs w:val="32"/>
        </w:rPr>
        <w:t>Notification of the Office of the Securities and Exchange Commission No. Sor Thor</w:t>
      </w:r>
      <w:r w:rsidRPr="00D6777B">
        <w:rPr>
          <w:i/>
          <w:iCs/>
          <w:sz w:val="32"/>
          <w:szCs w:val="32"/>
          <w:shd w:val="clear" w:color="auto" w:fill="FFFFFF" w:themeFill="background1"/>
        </w:rPr>
        <w:t>. 3</w:t>
      </w:r>
      <w:r w:rsidR="00493423" w:rsidRPr="00D6777B">
        <w:rPr>
          <w:i/>
          <w:iCs/>
          <w:sz w:val="32"/>
          <w:szCs w:val="32"/>
          <w:shd w:val="clear" w:color="auto" w:fill="FFFFFF" w:themeFill="background1"/>
          <w:cs/>
        </w:rPr>
        <w:t>8/2565</w:t>
      </w:r>
      <w:r w:rsidRPr="00D6777B">
        <w:rPr>
          <w:i/>
          <w:iCs/>
          <w:sz w:val="32"/>
          <w:szCs w:val="32"/>
        </w:rPr>
        <w:t xml:space="preserve"> Re: Rules in Detail on Establishment of Information Technology Systems</w:t>
      </w:r>
      <w:r w:rsidRPr="00D6777B">
        <w:rPr>
          <w:sz w:val="32"/>
          <w:szCs w:val="32"/>
        </w:rPr>
        <w:t>, dated 28 September 2022, (“</w:t>
      </w:r>
      <w:r w:rsidR="001E018D" w:rsidRPr="00D6777B">
        <w:rPr>
          <w:i/>
          <w:iCs/>
          <w:sz w:val="32"/>
          <w:szCs w:val="32"/>
        </w:rPr>
        <w:t xml:space="preserve">SEC Office </w:t>
      </w:r>
      <w:r w:rsidRPr="00D6777B">
        <w:rPr>
          <w:i/>
          <w:iCs/>
          <w:sz w:val="32"/>
          <w:szCs w:val="32"/>
        </w:rPr>
        <w:t>Notification No. Sor Thor. 38/2565</w:t>
      </w:r>
      <w:r w:rsidRPr="00D6777B">
        <w:rPr>
          <w:sz w:val="32"/>
          <w:szCs w:val="32"/>
        </w:rPr>
        <w:t xml:space="preserve">”), require that </w:t>
      </w:r>
      <w:r w:rsidR="001E018D" w:rsidRPr="00D6777B">
        <w:rPr>
          <w:sz w:val="32"/>
          <w:szCs w:val="32"/>
        </w:rPr>
        <w:t>business operators establish</w:t>
      </w:r>
      <w:r w:rsidRPr="00D6777B">
        <w:rPr>
          <w:sz w:val="32"/>
          <w:szCs w:val="32"/>
        </w:rPr>
        <w:t xml:space="preserve"> information technology governance, information technology security and information technology audit, as well as regular review of the suitability thereof;</w:t>
      </w:r>
    </w:p>
    <w:p w14:paraId="6E11D7CA" w14:textId="7C3A979D" w:rsidR="00346526" w:rsidRPr="00D6777B" w:rsidRDefault="00346526" w:rsidP="000B5ACC">
      <w:pPr>
        <w:rPr>
          <w:sz w:val="32"/>
          <w:szCs w:val="32"/>
        </w:rPr>
      </w:pPr>
      <w:r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ab/>
        <w:t xml:space="preserve">In the interest of meeting the aforesaid requirements by the </w:t>
      </w:r>
      <w:r w:rsidR="001E018D" w:rsidRPr="00D6777B">
        <w:rPr>
          <w:sz w:val="32"/>
          <w:szCs w:val="32"/>
        </w:rPr>
        <w:t>business operators</w:t>
      </w:r>
      <w:r w:rsidRPr="00D6777B">
        <w:rPr>
          <w:sz w:val="32"/>
          <w:szCs w:val="32"/>
        </w:rPr>
        <w:t>, the SEC Office, by virtue of Clause 3(2) in conjunction with Clause 6(7)</w:t>
      </w:r>
      <w:r w:rsidR="001E018D" w:rsidRPr="00D6777B">
        <w:rPr>
          <w:sz w:val="32"/>
          <w:szCs w:val="32"/>
          <w:cs/>
        </w:rPr>
        <w:t xml:space="preserve"> </w:t>
      </w:r>
      <w:r w:rsidRPr="00D6777B">
        <w:rPr>
          <w:sz w:val="32"/>
          <w:szCs w:val="32"/>
        </w:rPr>
        <w:t>(d), (f) and (g) of the</w:t>
      </w:r>
      <w:r w:rsidRPr="00D6777B">
        <w:rPr>
          <w:i/>
          <w:iCs/>
          <w:sz w:val="32"/>
          <w:szCs w:val="32"/>
        </w:rPr>
        <w:t xml:space="preserve"> </w:t>
      </w:r>
      <w:bookmarkStart w:id="1" w:name="_Hlk123238063"/>
      <w:r w:rsidR="001E018D" w:rsidRPr="00D6777B">
        <w:rPr>
          <w:i/>
          <w:iCs/>
          <w:sz w:val="32"/>
          <w:szCs w:val="32"/>
        </w:rPr>
        <w:t xml:space="preserve">SEC </w:t>
      </w:r>
      <w:r w:rsidRPr="00D6777B">
        <w:rPr>
          <w:i/>
          <w:iCs/>
          <w:sz w:val="32"/>
          <w:szCs w:val="32"/>
        </w:rPr>
        <w:t xml:space="preserve">Notification </w:t>
      </w:r>
      <w:r w:rsidR="001E018D" w:rsidRPr="00D6777B">
        <w:rPr>
          <w:i/>
          <w:iCs/>
          <w:sz w:val="32"/>
          <w:szCs w:val="32"/>
        </w:rPr>
        <w:t>No. K</w:t>
      </w:r>
      <w:r w:rsidRPr="00D6777B">
        <w:rPr>
          <w:i/>
          <w:iCs/>
          <w:sz w:val="32"/>
          <w:szCs w:val="32"/>
        </w:rPr>
        <w:t>or Jor. 16/2561</w:t>
      </w:r>
      <w:r w:rsidRPr="00D6777B">
        <w:rPr>
          <w:sz w:val="32"/>
          <w:szCs w:val="32"/>
        </w:rPr>
        <w:t xml:space="preserve">, Clause 3(2) in conjunction with Clause 9(4) </w:t>
      </w:r>
      <w:r w:rsidR="00BE05F8" w:rsidRPr="00D6777B">
        <w:rPr>
          <w:sz w:val="32"/>
          <w:szCs w:val="32"/>
        </w:rPr>
        <w:t xml:space="preserve">(7) </w:t>
      </w:r>
      <w:r w:rsidRPr="00D6777B">
        <w:rPr>
          <w:sz w:val="32"/>
          <w:szCs w:val="32"/>
        </w:rPr>
        <w:t xml:space="preserve">and (8), Clause 11, Clause 17, Clause 18 and Clause 19 of </w:t>
      </w:r>
      <w:proofErr w:type="gramStart"/>
      <w:r w:rsidRPr="00D6777B">
        <w:rPr>
          <w:sz w:val="32"/>
          <w:szCs w:val="32"/>
        </w:rPr>
        <w:t xml:space="preserve">the </w:t>
      </w:r>
      <w:r w:rsidR="001E018D" w:rsidRPr="00D6777B">
        <w:rPr>
          <w:i/>
          <w:iCs/>
          <w:sz w:val="32"/>
          <w:szCs w:val="32"/>
        </w:rPr>
        <w:t>SEC</w:t>
      </w:r>
      <w:proofErr w:type="gramEnd"/>
      <w:r w:rsidR="001E018D" w:rsidRPr="00D6777B">
        <w:rPr>
          <w:i/>
          <w:iCs/>
          <w:sz w:val="32"/>
          <w:szCs w:val="32"/>
        </w:rPr>
        <w:t xml:space="preserve"> </w:t>
      </w:r>
      <w:r w:rsidRPr="00D6777B">
        <w:rPr>
          <w:i/>
          <w:iCs/>
          <w:sz w:val="32"/>
          <w:szCs w:val="32"/>
        </w:rPr>
        <w:t xml:space="preserve">Notification </w:t>
      </w:r>
      <w:r w:rsidR="001E018D" w:rsidRPr="00D6777B">
        <w:rPr>
          <w:i/>
          <w:iCs/>
          <w:sz w:val="32"/>
          <w:szCs w:val="32"/>
        </w:rPr>
        <w:t>No. K</w:t>
      </w:r>
      <w:r w:rsidRPr="00D6777B">
        <w:rPr>
          <w:i/>
          <w:iCs/>
          <w:sz w:val="32"/>
          <w:szCs w:val="32"/>
        </w:rPr>
        <w:t>or Jor. 19/2561</w:t>
      </w:r>
      <w:r w:rsidRPr="00D6777B">
        <w:rPr>
          <w:sz w:val="32"/>
          <w:szCs w:val="32"/>
        </w:rPr>
        <w:t xml:space="preserve">, Clause 5(3), in conjunction with </w:t>
      </w:r>
      <w:r w:rsidR="001E018D" w:rsidRPr="00D6777B">
        <w:rPr>
          <w:sz w:val="32"/>
          <w:szCs w:val="32"/>
        </w:rPr>
        <w:t>P</w:t>
      </w:r>
      <w:r w:rsidRPr="00D6777B">
        <w:rPr>
          <w:sz w:val="32"/>
          <w:szCs w:val="32"/>
        </w:rPr>
        <w:t xml:space="preserve">aragraph </w:t>
      </w:r>
      <w:r w:rsidR="001E018D" w:rsidRPr="00D6777B">
        <w:rPr>
          <w:sz w:val="32"/>
          <w:szCs w:val="32"/>
        </w:rPr>
        <w:t xml:space="preserve">1(6)(11) and (12) </w:t>
      </w:r>
      <w:r w:rsidRPr="00D6777B">
        <w:rPr>
          <w:sz w:val="32"/>
          <w:szCs w:val="32"/>
        </w:rPr>
        <w:t xml:space="preserve">of Clause 12, and Clause 14 of the </w:t>
      </w:r>
      <w:r w:rsidR="001E018D" w:rsidRPr="00D6777B">
        <w:rPr>
          <w:i/>
          <w:iCs/>
          <w:sz w:val="32"/>
          <w:szCs w:val="32"/>
        </w:rPr>
        <w:t xml:space="preserve">CMSB </w:t>
      </w:r>
      <w:r w:rsidRPr="00D6777B">
        <w:rPr>
          <w:i/>
          <w:iCs/>
          <w:sz w:val="32"/>
          <w:szCs w:val="32"/>
        </w:rPr>
        <w:t>Notification No. Tor Thor. 35/2556</w:t>
      </w:r>
      <w:r w:rsidRPr="00D6777B">
        <w:rPr>
          <w:sz w:val="32"/>
          <w:szCs w:val="32"/>
        </w:rPr>
        <w:t xml:space="preserve">, Clause 4(2) in conjunction with Clause 26 and Clause 32 of the </w:t>
      </w:r>
      <w:r w:rsidR="001E018D" w:rsidRPr="00D6777B">
        <w:rPr>
          <w:i/>
          <w:iCs/>
          <w:sz w:val="32"/>
          <w:szCs w:val="32"/>
        </w:rPr>
        <w:t xml:space="preserve">CMSB </w:t>
      </w:r>
      <w:r w:rsidRPr="00D6777B">
        <w:rPr>
          <w:i/>
          <w:iCs/>
          <w:sz w:val="32"/>
          <w:szCs w:val="32"/>
        </w:rPr>
        <w:t>Notification No. Tor Thor. 30/2559</w:t>
      </w:r>
      <w:r w:rsidRPr="00D6777B">
        <w:rPr>
          <w:sz w:val="32"/>
          <w:szCs w:val="32"/>
        </w:rPr>
        <w:t xml:space="preserve">, Clause 5(2) in conjunction with Clause 21, </w:t>
      </w:r>
      <w:r w:rsidR="001E018D" w:rsidRPr="00D6777B">
        <w:rPr>
          <w:sz w:val="32"/>
          <w:szCs w:val="32"/>
        </w:rPr>
        <w:t>P</w:t>
      </w:r>
      <w:r w:rsidRPr="00D6777B">
        <w:rPr>
          <w:sz w:val="32"/>
          <w:szCs w:val="32"/>
        </w:rPr>
        <w:t xml:space="preserve">aragraph </w:t>
      </w:r>
      <w:r w:rsidR="001E018D" w:rsidRPr="00D6777B">
        <w:rPr>
          <w:sz w:val="32"/>
          <w:szCs w:val="32"/>
        </w:rPr>
        <w:t xml:space="preserve">1 </w:t>
      </w:r>
      <w:r w:rsidRPr="00D6777B">
        <w:rPr>
          <w:sz w:val="32"/>
          <w:szCs w:val="32"/>
        </w:rPr>
        <w:t xml:space="preserve">of Clause 27, Clause 37 and Clause 43 of the </w:t>
      </w:r>
      <w:r w:rsidR="006F54B5" w:rsidRPr="00D6777B">
        <w:rPr>
          <w:i/>
          <w:iCs/>
          <w:sz w:val="32"/>
          <w:szCs w:val="32"/>
        </w:rPr>
        <w:t xml:space="preserve">CMSB </w:t>
      </w:r>
      <w:r w:rsidRPr="00D6777B">
        <w:rPr>
          <w:i/>
          <w:iCs/>
          <w:sz w:val="32"/>
          <w:szCs w:val="32"/>
        </w:rPr>
        <w:t>Notification No. Tor Thor. 31/2559</w:t>
      </w:r>
      <w:r w:rsidRPr="00D6777B">
        <w:rPr>
          <w:sz w:val="32"/>
          <w:szCs w:val="32"/>
        </w:rPr>
        <w:t xml:space="preserve">, Clause 5(2) in conjunction with Clause 11, </w:t>
      </w:r>
      <w:r w:rsidR="006F54B5" w:rsidRPr="00D6777B">
        <w:rPr>
          <w:sz w:val="32"/>
          <w:szCs w:val="32"/>
        </w:rPr>
        <w:t>P</w:t>
      </w:r>
      <w:r w:rsidRPr="00D6777B">
        <w:rPr>
          <w:sz w:val="32"/>
          <w:szCs w:val="32"/>
        </w:rPr>
        <w:t xml:space="preserve">aragraph </w:t>
      </w:r>
      <w:r w:rsidR="006F54B5" w:rsidRPr="00D6777B">
        <w:rPr>
          <w:sz w:val="32"/>
          <w:szCs w:val="32"/>
        </w:rPr>
        <w:t xml:space="preserve">1 </w:t>
      </w:r>
      <w:r w:rsidRPr="00D6777B">
        <w:rPr>
          <w:sz w:val="32"/>
          <w:szCs w:val="32"/>
        </w:rPr>
        <w:t xml:space="preserve">of Clause 17 and Clause 33 of the </w:t>
      </w:r>
      <w:r w:rsidR="006F54B5" w:rsidRPr="00D6777B">
        <w:rPr>
          <w:i/>
          <w:iCs/>
          <w:sz w:val="32"/>
          <w:szCs w:val="32"/>
        </w:rPr>
        <w:t xml:space="preserve">CMSB </w:t>
      </w:r>
      <w:r w:rsidRPr="00D6777B">
        <w:rPr>
          <w:i/>
          <w:iCs/>
          <w:sz w:val="32"/>
          <w:szCs w:val="32"/>
        </w:rPr>
        <w:t>Notification No. Tor Thor. 32/2559</w:t>
      </w:r>
      <w:r w:rsidRPr="00D6777B">
        <w:rPr>
          <w:sz w:val="32"/>
          <w:szCs w:val="32"/>
        </w:rPr>
        <w:t xml:space="preserve">, and Clause 5(2) in conjunction with Clause 31(1) and </w:t>
      </w:r>
      <w:r w:rsidR="006F54B5" w:rsidRPr="00D6777B">
        <w:rPr>
          <w:sz w:val="32"/>
          <w:szCs w:val="32"/>
        </w:rPr>
        <w:t>P</w:t>
      </w:r>
      <w:r w:rsidRPr="00D6777B">
        <w:rPr>
          <w:sz w:val="32"/>
          <w:szCs w:val="32"/>
        </w:rPr>
        <w:t xml:space="preserve">aragraph </w:t>
      </w:r>
      <w:r w:rsidR="006F54B5" w:rsidRPr="00D6777B">
        <w:rPr>
          <w:sz w:val="32"/>
          <w:szCs w:val="32"/>
        </w:rPr>
        <w:t xml:space="preserve">1 </w:t>
      </w:r>
      <w:r w:rsidRPr="00D6777B">
        <w:rPr>
          <w:sz w:val="32"/>
          <w:szCs w:val="32"/>
        </w:rPr>
        <w:t xml:space="preserve">(d) of (4), and (4/1) of the </w:t>
      </w:r>
      <w:r w:rsidR="006F54B5" w:rsidRPr="00D6777B">
        <w:rPr>
          <w:i/>
          <w:iCs/>
          <w:sz w:val="32"/>
          <w:szCs w:val="32"/>
        </w:rPr>
        <w:t xml:space="preserve">CMSB </w:t>
      </w:r>
      <w:r w:rsidRPr="00D6777B">
        <w:rPr>
          <w:i/>
          <w:iCs/>
          <w:sz w:val="32"/>
          <w:szCs w:val="32"/>
        </w:rPr>
        <w:t>Notification No. Tor Jor. 21/2562</w:t>
      </w:r>
      <w:bookmarkEnd w:id="1"/>
      <w:r w:rsidRPr="00D6777B">
        <w:rPr>
          <w:i/>
          <w:iCs/>
          <w:sz w:val="32"/>
          <w:szCs w:val="32"/>
        </w:rPr>
        <w:t>,</w:t>
      </w:r>
      <w:r w:rsidRPr="00D6777B">
        <w:rPr>
          <w:sz w:val="32"/>
          <w:szCs w:val="32"/>
        </w:rPr>
        <w:t xml:space="preserve"> hereby issues th</w:t>
      </w:r>
      <w:r w:rsidR="006F54B5" w:rsidRPr="00D6777B">
        <w:rPr>
          <w:sz w:val="32"/>
          <w:szCs w:val="32"/>
        </w:rPr>
        <w:t>e following</w:t>
      </w:r>
      <w:r w:rsidRPr="00D6777B">
        <w:rPr>
          <w:sz w:val="32"/>
          <w:szCs w:val="32"/>
        </w:rPr>
        <w:t xml:space="preserve"> Guidelines: </w:t>
      </w:r>
      <w:r w:rsidR="00F5019D" w:rsidRPr="00D6777B">
        <w:rPr>
          <w:sz w:val="32"/>
          <w:szCs w:val="32"/>
          <w:cs/>
        </w:rPr>
        <w:br/>
      </w:r>
      <w:r w:rsidR="00F5019D" w:rsidRPr="00D6777B">
        <w:rPr>
          <w:sz w:val="32"/>
          <w:szCs w:val="32"/>
          <w:cs/>
        </w:rPr>
        <w:br/>
      </w:r>
      <w:r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ab/>
        <w:t>Clause 1</w:t>
      </w:r>
      <w:r w:rsidR="00CE5FE2" w:rsidRPr="00D6777B">
        <w:rPr>
          <w:sz w:val="32"/>
          <w:szCs w:val="32"/>
        </w:rPr>
        <w:t xml:space="preserve">   </w:t>
      </w:r>
      <w:r w:rsidRPr="00D6777B">
        <w:rPr>
          <w:sz w:val="32"/>
          <w:szCs w:val="32"/>
        </w:rPr>
        <w:t xml:space="preserve">The </w:t>
      </w:r>
      <w:r w:rsidRPr="00D6777B">
        <w:rPr>
          <w:i/>
          <w:iCs/>
          <w:sz w:val="32"/>
          <w:szCs w:val="32"/>
        </w:rPr>
        <w:t xml:space="preserve">Notification of the Office of the Securities and Exchange Commission No. Nor Por. </w:t>
      </w:r>
      <w:r w:rsidR="00737BE3" w:rsidRPr="00D6777B">
        <w:rPr>
          <w:i/>
          <w:iCs/>
          <w:sz w:val="32"/>
          <w:szCs w:val="32"/>
        </w:rPr>
        <w:t>7</w:t>
      </w:r>
      <w:r w:rsidRPr="00D6777B">
        <w:rPr>
          <w:i/>
          <w:iCs/>
          <w:sz w:val="32"/>
          <w:szCs w:val="32"/>
        </w:rPr>
        <w:t>/</w:t>
      </w:r>
      <w:r w:rsidR="00737BE3" w:rsidRPr="00D6777B">
        <w:rPr>
          <w:i/>
          <w:iCs/>
          <w:sz w:val="32"/>
          <w:szCs w:val="32"/>
        </w:rPr>
        <w:t xml:space="preserve">2565 </w:t>
      </w:r>
      <w:r w:rsidRPr="00D6777B">
        <w:rPr>
          <w:i/>
          <w:iCs/>
          <w:sz w:val="32"/>
          <w:szCs w:val="32"/>
        </w:rPr>
        <w:t>Re: Guidelines on Establishment of Information Technology Systems</w:t>
      </w:r>
      <w:r w:rsidRPr="00D6777B">
        <w:rPr>
          <w:sz w:val="32"/>
          <w:szCs w:val="32"/>
        </w:rPr>
        <w:t xml:space="preserve">, dated </w:t>
      </w:r>
      <w:r w:rsidR="00737BE3" w:rsidRPr="00D6777B">
        <w:rPr>
          <w:sz w:val="32"/>
          <w:szCs w:val="32"/>
        </w:rPr>
        <w:t xml:space="preserve">28 </w:t>
      </w:r>
      <w:r w:rsidRPr="00D6777B">
        <w:rPr>
          <w:sz w:val="32"/>
          <w:szCs w:val="32"/>
        </w:rPr>
        <w:t xml:space="preserve">September </w:t>
      </w:r>
      <w:r w:rsidR="00737BE3" w:rsidRPr="00D6777B">
        <w:rPr>
          <w:sz w:val="32"/>
          <w:szCs w:val="32"/>
        </w:rPr>
        <w:t>2022</w:t>
      </w:r>
      <w:r w:rsidRPr="00D6777B">
        <w:rPr>
          <w:sz w:val="32"/>
          <w:szCs w:val="32"/>
        </w:rPr>
        <w:t>, shall be repealed.</w:t>
      </w:r>
      <w:r w:rsidR="00F5019D" w:rsidRPr="00D6777B">
        <w:rPr>
          <w:sz w:val="32"/>
          <w:szCs w:val="32"/>
          <w:cs/>
        </w:rPr>
        <w:br/>
      </w:r>
      <w:r w:rsidR="00F5019D" w:rsidRPr="00D6777B">
        <w:rPr>
          <w:sz w:val="32"/>
          <w:szCs w:val="32"/>
          <w:cs/>
        </w:rPr>
        <w:br/>
      </w:r>
      <w:r w:rsidR="00F5019D" w:rsidRPr="00D6777B">
        <w:rPr>
          <w:sz w:val="32"/>
          <w:szCs w:val="32"/>
          <w:cs/>
        </w:rPr>
        <w:tab/>
      </w:r>
      <w:r w:rsidRPr="00D6777B">
        <w:rPr>
          <w:sz w:val="32"/>
          <w:szCs w:val="32"/>
        </w:rPr>
        <w:tab/>
        <w:t>Clause 2</w:t>
      </w:r>
      <w:r w:rsidR="00CE5FE2" w:rsidRPr="00D6777B">
        <w:rPr>
          <w:b/>
          <w:bCs/>
          <w:sz w:val="32"/>
          <w:szCs w:val="32"/>
        </w:rPr>
        <w:t xml:space="preserve">   </w:t>
      </w:r>
      <w:r w:rsidRPr="00D6777B">
        <w:rPr>
          <w:sz w:val="32"/>
          <w:szCs w:val="32"/>
        </w:rPr>
        <w:t xml:space="preserve">The Guidelines deal with the following matters: </w:t>
      </w:r>
    </w:p>
    <w:p w14:paraId="3D90557F" w14:textId="77777777" w:rsidR="00346526" w:rsidRPr="00D6777B" w:rsidRDefault="00346526" w:rsidP="000B5ACC">
      <w:pPr>
        <w:rPr>
          <w:sz w:val="32"/>
          <w:szCs w:val="32"/>
        </w:rPr>
      </w:pPr>
      <w:r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ab/>
        <w:t>(1)</w:t>
      </w:r>
      <w:r w:rsidRPr="00D6777B">
        <w:rPr>
          <w:sz w:val="32"/>
          <w:szCs w:val="32"/>
        </w:rPr>
        <w:tab/>
        <w:t>Information Technology Governance;</w:t>
      </w:r>
    </w:p>
    <w:p w14:paraId="652CBF61" w14:textId="77777777" w:rsidR="00346526" w:rsidRPr="00D6777B" w:rsidRDefault="00346526" w:rsidP="000B5ACC">
      <w:pPr>
        <w:rPr>
          <w:sz w:val="32"/>
          <w:szCs w:val="32"/>
        </w:rPr>
      </w:pPr>
      <w:r w:rsidRPr="00D6777B">
        <w:rPr>
          <w:sz w:val="32"/>
          <w:szCs w:val="32"/>
        </w:rPr>
        <w:lastRenderedPageBreak/>
        <w:tab/>
      </w:r>
      <w:r w:rsidRPr="00D6777B">
        <w:rPr>
          <w:sz w:val="32"/>
          <w:szCs w:val="32"/>
        </w:rPr>
        <w:tab/>
        <w:t>(2)</w:t>
      </w:r>
      <w:r w:rsidRPr="00D6777B">
        <w:rPr>
          <w:sz w:val="32"/>
          <w:szCs w:val="32"/>
        </w:rPr>
        <w:tab/>
        <w:t>Information Technology Security;</w:t>
      </w:r>
    </w:p>
    <w:p w14:paraId="00B6C8B4" w14:textId="77777777" w:rsidR="00346526" w:rsidRPr="00D6777B" w:rsidRDefault="00346526" w:rsidP="000B5ACC">
      <w:pPr>
        <w:rPr>
          <w:sz w:val="32"/>
          <w:szCs w:val="32"/>
        </w:rPr>
      </w:pPr>
      <w:r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ab/>
        <w:t>(3)</w:t>
      </w:r>
      <w:r w:rsidRPr="00D6777B">
        <w:rPr>
          <w:sz w:val="32"/>
          <w:szCs w:val="32"/>
        </w:rPr>
        <w:tab/>
        <w:t>Information Technology Audit; and</w:t>
      </w:r>
    </w:p>
    <w:p w14:paraId="71726705" w14:textId="54EF71CA" w:rsidR="002C4553" w:rsidRPr="00D6777B" w:rsidRDefault="00346526" w:rsidP="008D004D">
      <w:pPr>
        <w:rPr>
          <w:spacing w:val="-2"/>
          <w:sz w:val="32"/>
          <w:szCs w:val="32"/>
        </w:rPr>
      </w:pPr>
      <w:r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ab/>
        <w:t>(4)</w:t>
      </w:r>
      <w:r w:rsidRPr="00D6777B">
        <w:rPr>
          <w:sz w:val="32"/>
          <w:szCs w:val="32"/>
        </w:rPr>
        <w:tab/>
        <w:t>Review of suitability of (1), (2) and (3).</w:t>
      </w:r>
      <w:r w:rsidR="00F5019D" w:rsidRPr="00D6777B">
        <w:rPr>
          <w:sz w:val="32"/>
          <w:szCs w:val="32"/>
          <w:cs/>
        </w:rPr>
        <w:br/>
      </w:r>
      <w:r w:rsidR="00F5019D" w:rsidRPr="00D6777B">
        <w:rPr>
          <w:sz w:val="32"/>
          <w:szCs w:val="32"/>
          <w:cs/>
        </w:rPr>
        <w:br/>
      </w:r>
      <w:r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ab/>
        <w:t>Clause 3</w:t>
      </w:r>
      <w:r w:rsidR="00CE5FE2" w:rsidRPr="00D6777B">
        <w:rPr>
          <w:sz w:val="32"/>
          <w:szCs w:val="32"/>
        </w:rPr>
        <w:t xml:space="preserve">   </w:t>
      </w:r>
      <w:r w:rsidRPr="00D6777B">
        <w:rPr>
          <w:sz w:val="32"/>
          <w:szCs w:val="32"/>
        </w:rPr>
        <w:t>The details of the Guidelines under Clause 2 are described in the Appendix attached hereto.</w:t>
      </w:r>
      <w:r w:rsidR="00F5019D" w:rsidRPr="00D6777B">
        <w:rPr>
          <w:sz w:val="32"/>
          <w:szCs w:val="32"/>
          <w:cs/>
        </w:rPr>
        <w:br/>
      </w:r>
      <w:r w:rsidR="00F5019D" w:rsidRPr="00D6777B">
        <w:rPr>
          <w:sz w:val="32"/>
          <w:szCs w:val="32"/>
          <w:cs/>
        </w:rPr>
        <w:br/>
      </w:r>
      <w:r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ab/>
        <w:t>Clause 4</w:t>
      </w:r>
      <w:r w:rsidR="00682AA5" w:rsidRPr="00D6777B">
        <w:rPr>
          <w:sz w:val="32"/>
          <w:szCs w:val="32"/>
        </w:rPr>
        <w:t xml:space="preserve">   </w:t>
      </w:r>
      <w:r w:rsidRPr="00D6777B">
        <w:rPr>
          <w:sz w:val="32"/>
          <w:szCs w:val="32"/>
        </w:rPr>
        <w:t xml:space="preserve">In the case that the </w:t>
      </w:r>
      <w:r w:rsidR="00873FD3" w:rsidRPr="00D6777B">
        <w:rPr>
          <w:sz w:val="32"/>
          <w:szCs w:val="32"/>
        </w:rPr>
        <w:t>business operators</w:t>
      </w:r>
      <w:r w:rsidRPr="00D6777B">
        <w:rPr>
          <w:sz w:val="32"/>
          <w:szCs w:val="32"/>
        </w:rPr>
        <w:t xml:space="preserve"> have fully complied with these Guidelines, the SEC Office shall consider that the </w:t>
      </w:r>
      <w:r w:rsidR="00873FD3" w:rsidRPr="00D6777B">
        <w:rPr>
          <w:sz w:val="32"/>
          <w:szCs w:val="32"/>
        </w:rPr>
        <w:t xml:space="preserve">business operators </w:t>
      </w:r>
      <w:r w:rsidRPr="00D6777B">
        <w:rPr>
          <w:sz w:val="32"/>
          <w:szCs w:val="32"/>
        </w:rPr>
        <w:t xml:space="preserve">have already complied with the </w:t>
      </w:r>
      <w:r w:rsidR="00873FD3" w:rsidRPr="00D6777B">
        <w:rPr>
          <w:i/>
          <w:iCs/>
          <w:sz w:val="32"/>
          <w:szCs w:val="32"/>
        </w:rPr>
        <w:t xml:space="preserve">SEC </w:t>
      </w:r>
      <w:r w:rsidRPr="00D6777B">
        <w:rPr>
          <w:i/>
          <w:iCs/>
          <w:sz w:val="32"/>
          <w:szCs w:val="32"/>
        </w:rPr>
        <w:t xml:space="preserve">Notification </w:t>
      </w:r>
      <w:r w:rsidR="00873FD3" w:rsidRPr="00D6777B">
        <w:rPr>
          <w:i/>
          <w:iCs/>
          <w:sz w:val="32"/>
          <w:szCs w:val="32"/>
        </w:rPr>
        <w:t>No. K</w:t>
      </w:r>
      <w:r w:rsidRPr="00D6777B">
        <w:rPr>
          <w:i/>
          <w:iCs/>
          <w:sz w:val="32"/>
          <w:szCs w:val="32"/>
        </w:rPr>
        <w:t>or Jor. 16/2561</w:t>
      </w:r>
      <w:r w:rsidRPr="00D6777B">
        <w:rPr>
          <w:sz w:val="32"/>
          <w:szCs w:val="32"/>
        </w:rPr>
        <w:t xml:space="preserve">, the </w:t>
      </w:r>
      <w:r w:rsidR="00873FD3" w:rsidRPr="00D6777B">
        <w:rPr>
          <w:i/>
          <w:iCs/>
          <w:sz w:val="32"/>
          <w:szCs w:val="32"/>
        </w:rPr>
        <w:t xml:space="preserve">SEC </w:t>
      </w:r>
      <w:r w:rsidRPr="00D6777B">
        <w:rPr>
          <w:i/>
          <w:iCs/>
          <w:sz w:val="32"/>
          <w:szCs w:val="32"/>
        </w:rPr>
        <w:t xml:space="preserve">Notification </w:t>
      </w:r>
      <w:r w:rsidR="00873FD3" w:rsidRPr="00D6777B">
        <w:rPr>
          <w:i/>
          <w:iCs/>
          <w:sz w:val="32"/>
          <w:szCs w:val="32"/>
        </w:rPr>
        <w:t>No. K</w:t>
      </w:r>
      <w:r w:rsidRPr="00D6777B">
        <w:rPr>
          <w:i/>
          <w:iCs/>
          <w:sz w:val="32"/>
          <w:szCs w:val="32"/>
        </w:rPr>
        <w:t>or Jor. 19/2561</w:t>
      </w:r>
      <w:r w:rsidRPr="00D6777B">
        <w:rPr>
          <w:sz w:val="32"/>
          <w:szCs w:val="32"/>
        </w:rPr>
        <w:t xml:space="preserve">, the </w:t>
      </w:r>
      <w:r w:rsidR="00873FD3" w:rsidRPr="00D6777B">
        <w:rPr>
          <w:i/>
          <w:iCs/>
          <w:sz w:val="32"/>
          <w:szCs w:val="32"/>
        </w:rPr>
        <w:t xml:space="preserve">CMSB </w:t>
      </w:r>
      <w:r w:rsidRPr="00D6777B">
        <w:rPr>
          <w:i/>
          <w:iCs/>
          <w:sz w:val="32"/>
          <w:szCs w:val="32"/>
        </w:rPr>
        <w:t>Notification No. Tor Thor. 35/2556</w:t>
      </w:r>
      <w:r w:rsidRPr="00D6777B">
        <w:rPr>
          <w:sz w:val="32"/>
          <w:szCs w:val="32"/>
        </w:rPr>
        <w:t xml:space="preserve">, the </w:t>
      </w:r>
      <w:r w:rsidR="00873FD3" w:rsidRPr="00D6777B">
        <w:rPr>
          <w:i/>
          <w:iCs/>
          <w:sz w:val="32"/>
          <w:szCs w:val="32"/>
        </w:rPr>
        <w:t xml:space="preserve">CMSB </w:t>
      </w:r>
      <w:r w:rsidRPr="00D6777B">
        <w:rPr>
          <w:i/>
          <w:iCs/>
          <w:sz w:val="32"/>
          <w:szCs w:val="32"/>
        </w:rPr>
        <w:t>Notification No. Tor Thor. 30/2559</w:t>
      </w:r>
      <w:r w:rsidRPr="00D6777B">
        <w:rPr>
          <w:sz w:val="32"/>
          <w:szCs w:val="32"/>
        </w:rPr>
        <w:t xml:space="preserve">, the </w:t>
      </w:r>
      <w:r w:rsidR="00873FD3" w:rsidRPr="00D6777B">
        <w:rPr>
          <w:i/>
          <w:iCs/>
          <w:sz w:val="32"/>
          <w:szCs w:val="32"/>
        </w:rPr>
        <w:t xml:space="preserve">CMSB </w:t>
      </w:r>
      <w:r w:rsidRPr="00D6777B">
        <w:rPr>
          <w:i/>
          <w:iCs/>
          <w:sz w:val="32"/>
          <w:szCs w:val="32"/>
        </w:rPr>
        <w:t>Notification No. Tor Thor. 31/2559</w:t>
      </w:r>
      <w:r w:rsidRPr="00D6777B">
        <w:rPr>
          <w:sz w:val="32"/>
          <w:szCs w:val="32"/>
        </w:rPr>
        <w:t xml:space="preserve">, the </w:t>
      </w:r>
      <w:r w:rsidR="00873FD3" w:rsidRPr="00D6777B">
        <w:rPr>
          <w:i/>
          <w:iCs/>
          <w:sz w:val="32"/>
          <w:szCs w:val="32"/>
        </w:rPr>
        <w:t xml:space="preserve">CMSB </w:t>
      </w:r>
      <w:r w:rsidRPr="00D6777B">
        <w:rPr>
          <w:i/>
          <w:iCs/>
          <w:sz w:val="32"/>
          <w:szCs w:val="32"/>
        </w:rPr>
        <w:t>Notification No. Tor Thor. 32/2559</w:t>
      </w:r>
      <w:r w:rsidRPr="00D6777B">
        <w:rPr>
          <w:sz w:val="32"/>
          <w:szCs w:val="32"/>
        </w:rPr>
        <w:t xml:space="preserve">, and the </w:t>
      </w:r>
      <w:r w:rsidR="00873FD3" w:rsidRPr="00D6777B">
        <w:rPr>
          <w:i/>
          <w:iCs/>
          <w:sz w:val="32"/>
          <w:szCs w:val="32"/>
        </w:rPr>
        <w:t xml:space="preserve">CMSB </w:t>
      </w:r>
      <w:r w:rsidRPr="00D6777B">
        <w:rPr>
          <w:i/>
          <w:iCs/>
          <w:sz w:val="32"/>
          <w:szCs w:val="32"/>
        </w:rPr>
        <w:t xml:space="preserve">Notification No. Tor Jor. 21/2562 </w:t>
      </w:r>
      <w:r w:rsidRPr="00D6777B">
        <w:rPr>
          <w:sz w:val="32"/>
          <w:szCs w:val="32"/>
        </w:rPr>
        <w:t xml:space="preserve">with respect to information technology systems, and the </w:t>
      </w:r>
      <w:r w:rsidR="00873FD3" w:rsidRPr="00D6777B">
        <w:rPr>
          <w:i/>
          <w:iCs/>
          <w:sz w:val="32"/>
          <w:szCs w:val="32"/>
        </w:rPr>
        <w:t xml:space="preserve">SEC Office </w:t>
      </w:r>
      <w:r w:rsidRPr="00D6777B">
        <w:rPr>
          <w:i/>
          <w:iCs/>
          <w:sz w:val="32"/>
          <w:szCs w:val="32"/>
        </w:rPr>
        <w:t>Notification No. Sor Thor. 38/2565</w:t>
      </w:r>
      <w:r w:rsidRPr="00D6777B">
        <w:rPr>
          <w:sz w:val="32"/>
          <w:szCs w:val="32"/>
        </w:rPr>
        <w:t xml:space="preserve">. </w:t>
      </w:r>
      <w:r w:rsidR="00873FD3" w:rsidRPr="00D6777B">
        <w:rPr>
          <w:sz w:val="32"/>
          <w:szCs w:val="32"/>
        </w:rPr>
        <w:t>In case of</w:t>
      </w:r>
      <w:r w:rsidRPr="00D6777B">
        <w:rPr>
          <w:sz w:val="32"/>
          <w:szCs w:val="32"/>
        </w:rPr>
        <w:t xml:space="preserve"> adopt</w:t>
      </w:r>
      <w:r w:rsidR="00873FD3" w:rsidRPr="00D6777B">
        <w:rPr>
          <w:sz w:val="32"/>
          <w:szCs w:val="32"/>
        </w:rPr>
        <w:t>ing</w:t>
      </w:r>
      <w:r w:rsidRPr="00D6777B">
        <w:rPr>
          <w:sz w:val="32"/>
          <w:szCs w:val="32"/>
        </w:rPr>
        <w:t xml:space="preserve"> different approaches from the Guidelines, the </w:t>
      </w:r>
      <w:r w:rsidR="002C4553" w:rsidRPr="00D6777B">
        <w:rPr>
          <w:sz w:val="32"/>
          <w:szCs w:val="32"/>
        </w:rPr>
        <w:t xml:space="preserve">business operators </w:t>
      </w:r>
      <w:r w:rsidRPr="00D6777B">
        <w:rPr>
          <w:sz w:val="32"/>
          <w:szCs w:val="32"/>
        </w:rPr>
        <w:t xml:space="preserve">are obligated to prove that their approaches follow the principles and </w:t>
      </w:r>
      <w:r w:rsidR="002C4553" w:rsidRPr="00D6777B">
        <w:rPr>
          <w:sz w:val="32"/>
          <w:szCs w:val="32"/>
        </w:rPr>
        <w:t xml:space="preserve">comply with the </w:t>
      </w:r>
      <w:r w:rsidRPr="00D6777B">
        <w:rPr>
          <w:sz w:val="32"/>
          <w:szCs w:val="32"/>
        </w:rPr>
        <w:t>requirements of th</w:t>
      </w:r>
      <w:r w:rsidR="002C4553" w:rsidRPr="00D6777B">
        <w:rPr>
          <w:sz w:val="32"/>
          <w:szCs w:val="32"/>
        </w:rPr>
        <w:t>e</w:t>
      </w:r>
      <w:r w:rsidRPr="00D6777B">
        <w:rPr>
          <w:sz w:val="32"/>
          <w:szCs w:val="32"/>
        </w:rPr>
        <w:t xml:space="preserve"> </w:t>
      </w:r>
      <w:r w:rsidR="002C4553" w:rsidRPr="00D6777B">
        <w:rPr>
          <w:sz w:val="32"/>
          <w:szCs w:val="32"/>
        </w:rPr>
        <w:t xml:space="preserve">aforesaid </w:t>
      </w:r>
      <w:r w:rsidRPr="00D6777B">
        <w:rPr>
          <w:sz w:val="32"/>
          <w:szCs w:val="32"/>
        </w:rPr>
        <w:t>notifications.</w:t>
      </w:r>
      <w:r w:rsidR="00F5019D" w:rsidRPr="00D6777B">
        <w:rPr>
          <w:sz w:val="32"/>
          <w:szCs w:val="32"/>
          <w:cs/>
        </w:rPr>
        <w:br/>
      </w:r>
      <w:r w:rsidR="00F5019D" w:rsidRPr="00D6777B">
        <w:rPr>
          <w:sz w:val="32"/>
          <w:szCs w:val="32"/>
          <w:cs/>
        </w:rPr>
        <w:br/>
      </w:r>
      <w:r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ab/>
      </w:r>
      <w:r w:rsidRPr="00D6777B">
        <w:rPr>
          <w:spacing w:val="-6"/>
          <w:sz w:val="32"/>
          <w:szCs w:val="32"/>
        </w:rPr>
        <w:t>Clause 5</w:t>
      </w:r>
      <w:r w:rsidR="00682AA5" w:rsidRPr="00D6777B">
        <w:rPr>
          <w:spacing w:val="-6"/>
          <w:sz w:val="32"/>
          <w:szCs w:val="32"/>
        </w:rPr>
        <w:t xml:space="preserve">   </w:t>
      </w:r>
      <w:r w:rsidRPr="00D6777B">
        <w:rPr>
          <w:spacing w:val="-6"/>
          <w:sz w:val="32"/>
          <w:szCs w:val="32"/>
        </w:rPr>
        <w:t xml:space="preserve">This Notification shall come into force from 1 </w:t>
      </w:r>
      <w:r w:rsidR="00E92AD6" w:rsidRPr="00D6777B">
        <w:rPr>
          <w:spacing w:val="-6"/>
          <w:sz w:val="32"/>
          <w:szCs w:val="32"/>
        </w:rPr>
        <w:t xml:space="preserve">January </w:t>
      </w:r>
      <w:r w:rsidRPr="00D6777B">
        <w:rPr>
          <w:spacing w:val="-6"/>
          <w:sz w:val="32"/>
          <w:szCs w:val="32"/>
        </w:rPr>
        <w:t>202</w:t>
      </w:r>
      <w:r w:rsidR="00E92AD6" w:rsidRPr="00D6777B">
        <w:rPr>
          <w:spacing w:val="-6"/>
          <w:sz w:val="32"/>
          <w:szCs w:val="32"/>
        </w:rPr>
        <w:t>5</w:t>
      </w:r>
      <w:r w:rsidRPr="00D6777B">
        <w:rPr>
          <w:spacing w:val="-6"/>
          <w:sz w:val="32"/>
          <w:szCs w:val="32"/>
        </w:rPr>
        <w:t xml:space="preserve"> onwards.</w:t>
      </w:r>
    </w:p>
    <w:p w14:paraId="31F6DE69" w14:textId="1E07D52E" w:rsidR="00346526" w:rsidRPr="00D6777B" w:rsidRDefault="00346526" w:rsidP="00346526">
      <w:pPr>
        <w:rPr>
          <w:sz w:val="32"/>
          <w:szCs w:val="32"/>
        </w:rPr>
      </w:pPr>
      <w:r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ab/>
      </w:r>
      <w:r w:rsidR="00FE4765"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>Notified this 2</w:t>
      </w:r>
      <w:r w:rsidR="00206BFA" w:rsidRPr="00D6777B">
        <w:rPr>
          <w:sz w:val="32"/>
          <w:szCs w:val="32"/>
        </w:rPr>
        <w:t>1</w:t>
      </w:r>
      <w:r w:rsidR="00206BFA" w:rsidRPr="00D6777B">
        <w:rPr>
          <w:sz w:val="32"/>
          <w:szCs w:val="32"/>
          <w:vertAlign w:val="superscript"/>
        </w:rPr>
        <w:t>st</w:t>
      </w:r>
      <w:r w:rsidRPr="00D6777B">
        <w:rPr>
          <w:sz w:val="32"/>
          <w:szCs w:val="32"/>
        </w:rPr>
        <w:t xml:space="preserve"> day of </w:t>
      </w:r>
      <w:r w:rsidR="00206BFA" w:rsidRPr="00D6777B">
        <w:rPr>
          <w:sz w:val="32"/>
          <w:szCs w:val="32"/>
        </w:rPr>
        <w:t xml:space="preserve">November </w:t>
      </w:r>
      <w:r w:rsidRPr="00D6777B">
        <w:rPr>
          <w:sz w:val="32"/>
          <w:szCs w:val="32"/>
        </w:rPr>
        <w:t>202</w:t>
      </w:r>
      <w:r w:rsidR="00206BFA" w:rsidRPr="00D6777B">
        <w:rPr>
          <w:sz w:val="32"/>
          <w:szCs w:val="32"/>
        </w:rPr>
        <w:t>4</w:t>
      </w:r>
      <w:r w:rsidRPr="00D6777B">
        <w:rPr>
          <w:sz w:val="32"/>
          <w:szCs w:val="32"/>
        </w:rPr>
        <w:t>.</w:t>
      </w:r>
    </w:p>
    <w:p w14:paraId="2074DEC9" w14:textId="77777777" w:rsidR="00FE4765" w:rsidRPr="00D6777B" w:rsidRDefault="00346526" w:rsidP="00346526">
      <w:pPr>
        <w:rPr>
          <w:sz w:val="32"/>
          <w:szCs w:val="32"/>
        </w:rPr>
      </w:pPr>
      <w:r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ab/>
      </w:r>
    </w:p>
    <w:p w14:paraId="66BF24D4" w14:textId="57101EA7" w:rsidR="00346526" w:rsidRPr="00D6777B" w:rsidRDefault="00346526" w:rsidP="00346526">
      <w:pPr>
        <w:rPr>
          <w:sz w:val="32"/>
          <w:szCs w:val="32"/>
        </w:rPr>
      </w:pPr>
      <w:r w:rsidRPr="00D6777B">
        <w:rPr>
          <w:sz w:val="32"/>
          <w:szCs w:val="32"/>
        </w:rPr>
        <w:tab/>
      </w:r>
    </w:p>
    <w:p w14:paraId="337A9C3D" w14:textId="53AD43C6" w:rsidR="00736579" w:rsidRPr="00D6777B" w:rsidRDefault="00346526" w:rsidP="00D6777B">
      <w:pPr>
        <w:tabs>
          <w:tab w:val="center" w:pos="5387"/>
        </w:tabs>
        <w:spacing w:line="240" w:lineRule="auto"/>
        <w:rPr>
          <w:sz w:val="32"/>
          <w:szCs w:val="32"/>
        </w:rPr>
      </w:pPr>
      <w:r w:rsidRPr="00D6777B">
        <w:rPr>
          <w:sz w:val="32"/>
          <w:szCs w:val="32"/>
        </w:rPr>
        <w:tab/>
        <w:t>(M</w:t>
      </w:r>
      <w:r w:rsidR="00372869" w:rsidRPr="00D6777B">
        <w:rPr>
          <w:sz w:val="32"/>
          <w:szCs w:val="32"/>
        </w:rPr>
        <w:t>r</w:t>
      </w:r>
      <w:r w:rsidRPr="00D6777B">
        <w:rPr>
          <w:sz w:val="32"/>
          <w:szCs w:val="32"/>
        </w:rPr>
        <w:t xml:space="preserve">s. </w:t>
      </w:r>
      <w:r w:rsidR="00372869" w:rsidRPr="00D6777B">
        <w:rPr>
          <w:sz w:val="32"/>
          <w:szCs w:val="32"/>
        </w:rPr>
        <w:t xml:space="preserve">Pornanong </w:t>
      </w:r>
      <w:proofErr w:type="spellStart"/>
      <w:r w:rsidR="00372869" w:rsidRPr="00D6777B">
        <w:rPr>
          <w:sz w:val="32"/>
          <w:szCs w:val="32"/>
        </w:rPr>
        <w:t>Budsaratragoon</w:t>
      </w:r>
      <w:proofErr w:type="spellEnd"/>
      <w:r w:rsidRPr="00D6777B">
        <w:rPr>
          <w:sz w:val="32"/>
          <w:szCs w:val="32"/>
        </w:rPr>
        <w:t>)</w:t>
      </w:r>
      <w:r w:rsidR="003433F2" w:rsidRPr="00D6777B">
        <w:rPr>
          <w:sz w:val="32"/>
          <w:szCs w:val="32"/>
          <w:cs/>
        </w:rPr>
        <w:br/>
      </w:r>
      <w:r w:rsidR="003433F2" w:rsidRPr="00D6777B">
        <w:rPr>
          <w:sz w:val="32"/>
          <w:szCs w:val="32"/>
          <w:cs/>
        </w:rPr>
        <w:tab/>
      </w:r>
      <w:r w:rsidRPr="00D6777B">
        <w:rPr>
          <w:sz w:val="32"/>
          <w:szCs w:val="32"/>
        </w:rPr>
        <w:t>Secretary-General</w:t>
      </w:r>
      <w:r w:rsidR="003433F2" w:rsidRPr="00D6777B">
        <w:rPr>
          <w:sz w:val="32"/>
          <w:szCs w:val="32"/>
        </w:rPr>
        <w:br/>
      </w:r>
      <w:r w:rsidR="003433F2" w:rsidRPr="00D6777B">
        <w:rPr>
          <w:sz w:val="32"/>
          <w:szCs w:val="32"/>
        </w:rPr>
        <w:tab/>
      </w:r>
      <w:r w:rsidRPr="00D6777B">
        <w:rPr>
          <w:sz w:val="32"/>
          <w:szCs w:val="32"/>
        </w:rPr>
        <w:t>Office of the Securities and Exchange Commission</w:t>
      </w:r>
    </w:p>
    <w:sectPr w:rsidR="00736579" w:rsidRPr="00D6777B" w:rsidSect="00BD7DE5">
      <w:headerReference w:type="default" r:id="rId11"/>
      <w:headerReference w:type="first" r:id="rId12"/>
      <w:pgSz w:w="11909" w:h="16834"/>
      <w:pgMar w:top="1440" w:right="1440" w:bottom="1440" w:left="1800" w:header="72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44DF7" w14:textId="77777777" w:rsidR="00885B8C" w:rsidRDefault="00885B8C">
      <w:r>
        <w:separator/>
      </w:r>
    </w:p>
  </w:endnote>
  <w:endnote w:type="continuationSeparator" w:id="0">
    <w:p w14:paraId="1461A06B" w14:textId="77777777" w:rsidR="00885B8C" w:rsidRDefault="00885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A565F" w14:textId="77777777" w:rsidR="00885B8C" w:rsidRDefault="00885B8C">
      <w:r>
        <w:separator/>
      </w:r>
    </w:p>
  </w:footnote>
  <w:footnote w:type="continuationSeparator" w:id="0">
    <w:p w14:paraId="56DFBEA7" w14:textId="77777777" w:rsidR="00885B8C" w:rsidRDefault="00885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2D76" w14:textId="77777777" w:rsidR="005C19A0" w:rsidRPr="0006354C" w:rsidRDefault="005C19A0" w:rsidP="0006354C">
    <w:pPr>
      <w:pStyle w:val="Header"/>
      <w:jc w:val="center"/>
      <w:rPr>
        <w:sz w:val="32"/>
        <w:szCs w:val="32"/>
      </w:rPr>
    </w:pPr>
    <w:r w:rsidRPr="0006354C">
      <w:rPr>
        <w:sz w:val="32"/>
        <w:szCs w:val="32"/>
      </w:rPr>
      <w:fldChar w:fldCharType="begin"/>
    </w:r>
    <w:r w:rsidRPr="0006354C">
      <w:rPr>
        <w:sz w:val="32"/>
        <w:szCs w:val="32"/>
      </w:rPr>
      <w:instrText xml:space="preserve"> PAGE   \* MERGEFORMAT </w:instrText>
    </w:r>
    <w:r w:rsidRPr="0006354C">
      <w:rPr>
        <w:sz w:val="32"/>
        <w:szCs w:val="32"/>
      </w:rPr>
      <w:fldChar w:fldCharType="separate"/>
    </w:r>
    <w:r w:rsidR="00CA6FCE" w:rsidRPr="0006354C">
      <w:rPr>
        <w:noProof/>
        <w:sz w:val="32"/>
        <w:szCs w:val="32"/>
      </w:rPr>
      <w:t>4</w:t>
    </w:r>
    <w:r w:rsidRPr="0006354C">
      <w:rPr>
        <w:noProof/>
        <w:sz w:val="32"/>
        <w:szCs w:val="32"/>
      </w:rPr>
      <w:fldChar w:fldCharType="end"/>
    </w:r>
  </w:p>
  <w:p w14:paraId="56F6D8B7" w14:textId="77777777" w:rsidR="005C19A0" w:rsidRDefault="005C19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7C21C" w14:textId="77777777" w:rsidR="009F4682" w:rsidRPr="00C05F4C" w:rsidRDefault="006B4967" w:rsidP="000B5ACC">
    <w:pPr>
      <w:pStyle w:val="Header"/>
      <w:ind w:right="-43"/>
      <w:jc w:val="center"/>
      <w:rPr>
        <w:b/>
        <w:bCs/>
        <w:sz w:val="32"/>
      </w:rPr>
    </w:pPr>
    <w:bookmarkStart w:id="2" w:name="_Hlk129603362"/>
    <w:bookmarkStart w:id="3" w:name="_Hlk129603363"/>
    <w:bookmarkStart w:id="4" w:name="_Hlk129610778"/>
    <w:bookmarkStart w:id="5" w:name="_Hlk129610779"/>
    <w:r w:rsidRPr="00C05F4C">
      <w:rPr>
        <w:b/>
        <w:bCs/>
        <w:sz w:val="32"/>
      </w:rPr>
      <w:t>U</w:t>
    </w:r>
    <w:r w:rsidR="009F4682" w:rsidRPr="00C05F4C">
      <w:rPr>
        <w:b/>
        <w:bCs/>
        <w:sz w:val="32"/>
      </w:rPr>
      <w:t xml:space="preserve">nofficial Translation </w:t>
    </w:r>
  </w:p>
  <w:p w14:paraId="61BE73CD" w14:textId="5D918EF5" w:rsidR="005C19A0" w:rsidRPr="00C05F4C" w:rsidRDefault="005C19A0" w:rsidP="009F4682">
    <w:pPr>
      <w:pStyle w:val="Header"/>
      <w:ind w:right="-43"/>
      <w:rPr>
        <w:sz w:val="32"/>
      </w:rPr>
    </w:pPr>
    <w:r w:rsidRPr="00C05F4C">
      <w:rPr>
        <w:i/>
        <w:iCs/>
        <w:sz w:val="32"/>
      </w:rPr>
      <w:t>Readers should be aware that only the original Thai text has legal force, and that this English translation is strictly for reference.</w:t>
    </w:r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28608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FB4EF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9F272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866DD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B244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Times New Roman" w:hAnsi="Symbol" w:hint="default"/>
      </w:rPr>
    </w:lvl>
  </w:abstractNum>
  <w:abstractNum w:abstractNumId="5" w15:restartNumberingAfterBreak="0">
    <w:nsid w:val="FFFFFF81"/>
    <w:multiLevelType w:val="singleLevel"/>
    <w:tmpl w:val="4D02B1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Times New Roman" w:hAnsi="Symbol" w:hint="default"/>
      </w:rPr>
    </w:lvl>
  </w:abstractNum>
  <w:abstractNum w:abstractNumId="6" w15:restartNumberingAfterBreak="0">
    <w:nsid w:val="FFFFFF82"/>
    <w:multiLevelType w:val="singleLevel"/>
    <w:tmpl w:val="DA2C45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Times New Roman" w:hAnsi="Symbol" w:hint="default"/>
      </w:rPr>
    </w:lvl>
  </w:abstractNum>
  <w:abstractNum w:abstractNumId="7" w15:restartNumberingAfterBreak="0">
    <w:nsid w:val="FFFFFF83"/>
    <w:multiLevelType w:val="singleLevel"/>
    <w:tmpl w:val="68F04F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Times New Roman" w:hAnsi="Symbol" w:hint="default"/>
      </w:rPr>
    </w:lvl>
  </w:abstractNum>
  <w:abstractNum w:abstractNumId="8" w15:restartNumberingAfterBreak="0">
    <w:nsid w:val="FFFFFF88"/>
    <w:multiLevelType w:val="singleLevel"/>
    <w:tmpl w:val="FC46A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A48A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0" w15:restartNumberingAfterBreak="0">
    <w:nsid w:val="171534E3"/>
    <w:multiLevelType w:val="multilevel"/>
    <w:tmpl w:val="6A36F8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4109222">
    <w:abstractNumId w:val="9"/>
  </w:num>
  <w:num w:numId="2" w16cid:durableId="110441193">
    <w:abstractNumId w:val="7"/>
  </w:num>
  <w:num w:numId="3" w16cid:durableId="1583635472">
    <w:abstractNumId w:val="6"/>
  </w:num>
  <w:num w:numId="4" w16cid:durableId="521550277">
    <w:abstractNumId w:val="5"/>
  </w:num>
  <w:num w:numId="5" w16cid:durableId="34502648">
    <w:abstractNumId w:val="4"/>
  </w:num>
  <w:num w:numId="6" w16cid:durableId="885800396">
    <w:abstractNumId w:val="8"/>
  </w:num>
  <w:num w:numId="7" w16cid:durableId="2011060711">
    <w:abstractNumId w:val="3"/>
  </w:num>
  <w:num w:numId="8" w16cid:durableId="1058478243">
    <w:abstractNumId w:val="2"/>
  </w:num>
  <w:num w:numId="9" w16cid:durableId="1825774188">
    <w:abstractNumId w:val="1"/>
  </w:num>
  <w:num w:numId="10" w16cid:durableId="1675649240">
    <w:abstractNumId w:val="0"/>
  </w:num>
  <w:num w:numId="11" w16cid:durableId="20726580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linkStyl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35C"/>
    <w:rsid w:val="0005505E"/>
    <w:rsid w:val="0006354C"/>
    <w:rsid w:val="00085896"/>
    <w:rsid w:val="000B4B31"/>
    <w:rsid w:val="000B5ACC"/>
    <w:rsid w:val="000C3903"/>
    <w:rsid w:val="000C6786"/>
    <w:rsid w:val="000F19D5"/>
    <w:rsid w:val="000F308A"/>
    <w:rsid w:val="00122804"/>
    <w:rsid w:val="001252E4"/>
    <w:rsid w:val="001263C0"/>
    <w:rsid w:val="0013131B"/>
    <w:rsid w:val="001529BE"/>
    <w:rsid w:val="00155A38"/>
    <w:rsid w:val="00163177"/>
    <w:rsid w:val="00173F26"/>
    <w:rsid w:val="00194294"/>
    <w:rsid w:val="001A1A10"/>
    <w:rsid w:val="001E018D"/>
    <w:rsid w:val="001E4331"/>
    <w:rsid w:val="002063DA"/>
    <w:rsid w:val="00206BFA"/>
    <w:rsid w:val="002232D0"/>
    <w:rsid w:val="002A354D"/>
    <w:rsid w:val="002C4553"/>
    <w:rsid w:val="002C5DF1"/>
    <w:rsid w:val="002D3BB6"/>
    <w:rsid w:val="002D74A8"/>
    <w:rsid w:val="00305E21"/>
    <w:rsid w:val="00320819"/>
    <w:rsid w:val="003433F2"/>
    <w:rsid w:val="00346526"/>
    <w:rsid w:val="003614A6"/>
    <w:rsid w:val="00372869"/>
    <w:rsid w:val="00384A43"/>
    <w:rsid w:val="003A2FF6"/>
    <w:rsid w:val="003A38A2"/>
    <w:rsid w:val="004135E4"/>
    <w:rsid w:val="004168CB"/>
    <w:rsid w:val="004254CD"/>
    <w:rsid w:val="00435B20"/>
    <w:rsid w:val="00456E86"/>
    <w:rsid w:val="00462E71"/>
    <w:rsid w:val="00472C14"/>
    <w:rsid w:val="00486682"/>
    <w:rsid w:val="00493423"/>
    <w:rsid w:val="00494850"/>
    <w:rsid w:val="00494A58"/>
    <w:rsid w:val="004951A9"/>
    <w:rsid w:val="004C2E79"/>
    <w:rsid w:val="004D34BE"/>
    <w:rsid w:val="004D7E03"/>
    <w:rsid w:val="004E1F11"/>
    <w:rsid w:val="004E530C"/>
    <w:rsid w:val="005014E9"/>
    <w:rsid w:val="00512563"/>
    <w:rsid w:val="00524E7A"/>
    <w:rsid w:val="00545085"/>
    <w:rsid w:val="00546BD3"/>
    <w:rsid w:val="00550294"/>
    <w:rsid w:val="0055500C"/>
    <w:rsid w:val="0056265C"/>
    <w:rsid w:val="005642CE"/>
    <w:rsid w:val="00590BA9"/>
    <w:rsid w:val="00592278"/>
    <w:rsid w:val="005C19A0"/>
    <w:rsid w:val="005C7312"/>
    <w:rsid w:val="005F33D9"/>
    <w:rsid w:val="005F5B0C"/>
    <w:rsid w:val="005F77F5"/>
    <w:rsid w:val="0062757F"/>
    <w:rsid w:val="006320A4"/>
    <w:rsid w:val="00655CFB"/>
    <w:rsid w:val="006628AC"/>
    <w:rsid w:val="00662BD6"/>
    <w:rsid w:val="006658D6"/>
    <w:rsid w:val="00670387"/>
    <w:rsid w:val="00672B34"/>
    <w:rsid w:val="00674F33"/>
    <w:rsid w:val="00682AA5"/>
    <w:rsid w:val="00690B29"/>
    <w:rsid w:val="0069207E"/>
    <w:rsid w:val="006948B0"/>
    <w:rsid w:val="006A4BBA"/>
    <w:rsid w:val="006B4967"/>
    <w:rsid w:val="006C3337"/>
    <w:rsid w:val="006D3D32"/>
    <w:rsid w:val="006D5586"/>
    <w:rsid w:val="006E72D7"/>
    <w:rsid w:val="006F148D"/>
    <w:rsid w:val="006F1E1E"/>
    <w:rsid w:val="006F42E3"/>
    <w:rsid w:val="006F54B5"/>
    <w:rsid w:val="006F666B"/>
    <w:rsid w:val="006F684E"/>
    <w:rsid w:val="00723F0A"/>
    <w:rsid w:val="00736579"/>
    <w:rsid w:val="00737BE3"/>
    <w:rsid w:val="00740C53"/>
    <w:rsid w:val="00741CBC"/>
    <w:rsid w:val="0078494B"/>
    <w:rsid w:val="007A58E7"/>
    <w:rsid w:val="00802E97"/>
    <w:rsid w:val="00807975"/>
    <w:rsid w:val="00837915"/>
    <w:rsid w:val="008410D6"/>
    <w:rsid w:val="00845A6E"/>
    <w:rsid w:val="008576BF"/>
    <w:rsid w:val="00866364"/>
    <w:rsid w:val="00871AF7"/>
    <w:rsid w:val="0087319E"/>
    <w:rsid w:val="00873FD3"/>
    <w:rsid w:val="00875167"/>
    <w:rsid w:val="00876619"/>
    <w:rsid w:val="00885B8C"/>
    <w:rsid w:val="008B08C7"/>
    <w:rsid w:val="008B108A"/>
    <w:rsid w:val="008D004D"/>
    <w:rsid w:val="008D73F8"/>
    <w:rsid w:val="008D76D0"/>
    <w:rsid w:val="008E146A"/>
    <w:rsid w:val="008E2794"/>
    <w:rsid w:val="00901A36"/>
    <w:rsid w:val="00902576"/>
    <w:rsid w:val="0090364E"/>
    <w:rsid w:val="0092067D"/>
    <w:rsid w:val="0094259B"/>
    <w:rsid w:val="0095556E"/>
    <w:rsid w:val="0096750D"/>
    <w:rsid w:val="00974439"/>
    <w:rsid w:val="00975065"/>
    <w:rsid w:val="00975AC7"/>
    <w:rsid w:val="00995513"/>
    <w:rsid w:val="0099672F"/>
    <w:rsid w:val="009A718F"/>
    <w:rsid w:val="009B5599"/>
    <w:rsid w:val="009B6313"/>
    <w:rsid w:val="009B6FEF"/>
    <w:rsid w:val="009C235E"/>
    <w:rsid w:val="009C3142"/>
    <w:rsid w:val="009C511A"/>
    <w:rsid w:val="009D1C9F"/>
    <w:rsid w:val="009E37CA"/>
    <w:rsid w:val="009F4682"/>
    <w:rsid w:val="00A139D4"/>
    <w:rsid w:val="00A1626A"/>
    <w:rsid w:val="00A175D5"/>
    <w:rsid w:val="00A265BB"/>
    <w:rsid w:val="00A44816"/>
    <w:rsid w:val="00A564C9"/>
    <w:rsid w:val="00A632FF"/>
    <w:rsid w:val="00A63D71"/>
    <w:rsid w:val="00A6656F"/>
    <w:rsid w:val="00AB699E"/>
    <w:rsid w:val="00AD023A"/>
    <w:rsid w:val="00AD5966"/>
    <w:rsid w:val="00AD5A32"/>
    <w:rsid w:val="00AE2067"/>
    <w:rsid w:val="00AE3D81"/>
    <w:rsid w:val="00B07EEB"/>
    <w:rsid w:val="00B12C0E"/>
    <w:rsid w:val="00B32D4D"/>
    <w:rsid w:val="00B351AA"/>
    <w:rsid w:val="00B62698"/>
    <w:rsid w:val="00B943C8"/>
    <w:rsid w:val="00BD557C"/>
    <w:rsid w:val="00BD7DE5"/>
    <w:rsid w:val="00BE05F8"/>
    <w:rsid w:val="00C02DE2"/>
    <w:rsid w:val="00C05F4C"/>
    <w:rsid w:val="00C37CA8"/>
    <w:rsid w:val="00C4295C"/>
    <w:rsid w:val="00C52ECB"/>
    <w:rsid w:val="00C559E3"/>
    <w:rsid w:val="00C73FA3"/>
    <w:rsid w:val="00C81FBD"/>
    <w:rsid w:val="00C82701"/>
    <w:rsid w:val="00CA4313"/>
    <w:rsid w:val="00CA6FCE"/>
    <w:rsid w:val="00CB72D1"/>
    <w:rsid w:val="00CC198D"/>
    <w:rsid w:val="00CC2BCD"/>
    <w:rsid w:val="00CC6605"/>
    <w:rsid w:val="00CC7338"/>
    <w:rsid w:val="00CD0639"/>
    <w:rsid w:val="00CD67FA"/>
    <w:rsid w:val="00CD68CE"/>
    <w:rsid w:val="00CE4549"/>
    <w:rsid w:val="00CE5FE2"/>
    <w:rsid w:val="00CE71A1"/>
    <w:rsid w:val="00CE7740"/>
    <w:rsid w:val="00D05169"/>
    <w:rsid w:val="00D055E9"/>
    <w:rsid w:val="00D07E38"/>
    <w:rsid w:val="00D1305F"/>
    <w:rsid w:val="00D15B31"/>
    <w:rsid w:val="00D44823"/>
    <w:rsid w:val="00D51669"/>
    <w:rsid w:val="00D52E6B"/>
    <w:rsid w:val="00D64E3D"/>
    <w:rsid w:val="00D6777B"/>
    <w:rsid w:val="00D709C8"/>
    <w:rsid w:val="00D92698"/>
    <w:rsid w:val="00D93CF4"/>
    <w:rsid w:val="00DB2EA1"/>
    <w:rsid w:val="00DE0714"/>
    <w:rsid w:val="00E00733"/>
    <w:rsid w:val="00E018D4"/>
    <w:rsid w:val="00E10A85"/>
    <w:rsid w:val="00E211B8"/>
    <w:rsid w:val="00E25777"/>
    <w:rsid w:val="00E317B3"/>
    <w:rsid w:val="00E41E46"/>
    <w:rsid w:val="00E55B0D"/>
    <w:rsid w:val="00E72CFC"/>
    <w:rsid w:val="00E87724"/>
    <w:rsid w:val="00E92AD6"/>
    <w:rsid w:val="00E9729F"/>
    <w:rsid w:val="00EB335C"/>
    <w:rsid w:val="00EB5DCE"/>
    <w:rsid w:val="00EC00D5"/>
    <w:rsid w:val="00ED1BE7"/>
    <w:rsid w:val="00ED4780"/>
    <w:rsid w:val="00EF5557"/>
    <w:rsid w:val="00F1105D"/>
    <w:rsid w:val="00F15D69"/>
    <w:rsid w:val="00F26ED6"/>
    <w:rsid w:val="00F27A56"/>
    <w:rsid w:val="00F3734E"/>
    <w:rsid w:val="00F4527B"/>
    <w:rsid w:val="00F5019D"/>
    <w:rsid w:val="00F51F39"/>
    <w:rsid w:val="00F56704"/>
    <w:rsid w:val="00F600F0"/>
    <w:rsid w:val="00F76412"/>
    <w:rsid w:val="00F77948"/>
    <w:rsid w:val="00F77F97"/>
    <w:rsid w:val="00F817EA"/>
    <w:rsid w:val="00F81D5F"/>
    <w:rsid w:val="00F87CB2"/>
    <w:rsid w:val="00FC4576"/>
    <w:rsid w:val="00FE4691"/>
    <w:rsid w:val="00FE4765"/>
    <w:rsid w:val="00FE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FE7D7B"/>
  <w15:chartTrackingRefBased/>
  <w15:docId w15:val="{940C334B-7877-44B4-81BD-CBFD6B797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77B"/>
    <w:pPr>
      <w:spacing w:before="120" w:line="279" w:lineRule="auto"/>
    </w:pPr>
    <w:rPr>
      <w:rFonts w:ascii="TH SarabunPSK" w:eastAsiaTheme="minorHAnsi" w:hAnsi="TH SarabunPSK" w:cs="TH SarabunPSK"/>
      <w:sz w:val="28"/>
      <w:szCs w:val="28"/>
    </w:rPr>
  </w:style>
  <w:style w:type="paragraph" w:styleId="Heading1">
    <w:name w:val="heading 1"/>
    <w:aliases w:val="หัวข้อ 1,หัวข้อ 11,หัวข้อ 12,หัวข้อ 13,หัวข้อ 14"/>
    <w:basedOn w:val="Normal"/>
    <w:next w:val="Normal"/>
    <w:link w:val="Heading1Char"/>
    <w:autoRedefine/>
    <w:uiPriority w:val="9"/>
    <w:qFormat/>
    <w:rsid w:val="00D6777B"/>
    <w:pPr>
      <w:keepNext/>
      <w:keepLines/>
      <w:spacing w:before="320" w:after="40"/>
      <w:outlineLvl w:val="0"/>
    </w:pPr>
    <w:rPr>
      <w:rFonts w:asciiTheme="majorHAnsi" w:eastAsiaTheme="majorEastAsia" w:hAnsiTheme="majorHAnsi"/>
      <w:sz w:val="40"/>
      <w:szCs w:val="50"/>
    </w:rPr>
  </w:style>
  <w:style w:type="paragraph" w:styleId="Heading2">
    <w:name w:val="heading 2"/>
    <w:aliases w:val="หัวข้อ 2,หัวข้อ 21,หัวข้อ 22,หัวข้อ 23,หัวข้อ 24"/>
    <w:basedOn w:val="Normal"/>
    <w:next w:val="Normal"/>
    <w:link w:val="Heading2Char"/>
    <w:uiPriority w:val="9"/>
    <w:unhideWhenUsed/>
    <w:qFormat/>
    <w:rsid w:val="00D6777B"/>
    <w:pPr>
      <w:keepNext/>
      <w:keepLines/>
      <w:spacing w:after="40"/>
      <w:outlineLvl w:val="1"/>
    </w:pPr>
    <w:rPr>
      <w:rFonts w:asciiTheme="majorHAnsi" w:eastAsiaTheme="majorEastAsia" w:hAnsiTheme="majorHAnsi"/>
      <w:sz w:val="32"/>
      <w:szCs w:val="40"/>
    </w:rPr>
  </w:style>
  <w:style w:type="paragraph" w:styleId="Heading3">
    <w:name w:val="heading 3"/>
    <w:aliases w:val="หัวข้อ 3,หัวข้อ 31,หัวข้อ 32,หัวข้อ 33,หัวข้อ 34"/>
    <w:basedOn w:val="Normal"/>
    <w:next w:val="Heading1"/>
    <w:qFormat/>
    <w:pPr>
      <w:keepNext/>
      <w:outlineLvl w:val="2"/>
    </w:pPr>
    <w:rPr>
      <w:b/>
      <w:bCs/>
    </w:rPr>
  </w:style>
  <w:style w:type="paragraph" w:styleId="Heading4">
    <w:name w:val="heading 4"/>
    <w:aliases w:val="หัวข้อ 4,หัวข้อ 41,หัวข้อ 42,หัวข้อ 43,หัวข้อ 44"/>
    <w:basedOn w:val="Normal"/>
    <w:next w:val="Heading1"/>
    <w:qFormat/>
    <w:pPr>
      <w:keepNext/>
      <w:outlineLvl w:val="3"/>
    </w:pPr>
    <w:rPr>
      <w:b/>
      <w:bCs/>
    </w:rPr>
  </w:style>
  <w:style w:type="paragraph" w:styleId="Heading5">
    <w:name w:val="heading 5"/>
    <w:aliases w:val="หัวข้อ 5,หัวข้อ 51,หัวข้อ 52,หัวข้อ 53,หัวข้อ 54"/>
    <w:basedOn w:val="Normal"/>
    <w:next w:val="Heading1"/>
    <w:qFormat/>
    <w:pPr>
      <w:outlineLvl w:val="4"/>
    </w:pPr>
    <w:rPr>
      <w:b/>
      <w:bCs/>
    </w:rPr>
  </w:style>
  <w:style w:type="paragraph" w:styleId="Heading6">
    <w:name w:val="heading 6"/>
    <w:aliases w:val="หัวข้อ 6,หัวข้อ 61,หัวข้อ 62,หัวข้อ 63,หัวข้อ 64"/>
    <w:basedOn w:val="Normal"/>
    <w:next w:val="Heading1"/>
    <w:qFormat/>
    <w:pPr>
      <w:outlineLvl w:val="5"/>
    </w:pPr>
    <w:rPr>
      <w:b/>
      <w:bCs/>
    </w:rPr>
  </w:style>
  <w:style w:type="paragraph" w:styleId="Heading7">
    <w:name w:val="heading 7"/>
    <w:aliases w:val="หัวข้อ 7,หัวข้อ 71,หัวข้อ 72,หัวข้อ 73,หัวข้อ 74"/>
    <w:basedOn w:val="Normal"/>
    <w:next w:val="Heading1"/>
    <w:qFormat/>
    <w:pPr>
      <w:outlineLvl w:val="6"/>
    </w:pPr>
  </w:style>
  <w:style w:type="paragraph" w:styleId="Heading8">
    <w:name w:val="heading 8"/>
    <w:aliases w:val="หัวข้อ 8,หัวข้อ 81,หัวข้อ 82,หัวข้อ 83,หัวข้อ 84"/>
    <w:basedOn w:val="Normal"/>
    <w:next w:val="Heading1"/>
    <w:qFormat/>
    <w:pPr>
      <w:outlineLvl w:val="7"/>
    </w:pPr>
    <w:rPr>
      <w:b/>
      <w:bCs/>
    </w:rPr>
  </w:style>
  <w:style w:type="paragraph" w:styleId="Heading9">
    <w:name w:val="heading 9"/>
    <w:aliases w:val="หัวข้อ 9,หัวข้อ 91,หัวข้อ 92,หัวข้อ 93,หัวข้อ 94"/>
    <w:basedOn w:val="Normal"/>
    <w:next w:val="Heading1"/>
    <w:qFormat/>
    <w:p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  <w:rsid w:val="00D677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77B"/>
  </w:style>
  <w:style w:type="paragraph" w:styleId="MacroText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EucrosiaUPC" w:hAnsi="EucrosiaUPC" w:cs="EucrosiaUPC"/>
      <w:snapToGrid w:val="0"/>
      <w:sz w:val="28"/>
      <w:szCs w:val="28"/>
      <w:lang w:eastAsia="th-TH"/>
    </w:rPr>
  </w:style>
  <w:style w:type="paragraph" w:customStyle="1" w:styleId="BodyText1">
    <w:name w:val="Body Text1"/>
    <w:basedOn w:val="Normal"/>
  </w:style>
  <w:style w:type="paragraph" w:customStyle="1" w:styleId="BodytextIndFirst">
    <w:name w:val="Body text Ind First"/>
    <w:basedOn w:val="BodyText1"/>
    <w:pPr>
      <w:ind w:firstLine="720"/>
    </w:pPr>
  </w:style>
  <w:style w:type="paragraph" w:customStyle="1" w:styleId="ChapterSubTitle">
    <w:name w:val="Chapter SubTitle"/>
    <w:basedOn w:val="Normal"/>
    <w:pPr>
      <w:jc w:val="center"/>
    </w:pPr>
    <w:rPr>
      <w:b/>
      <w:bCs/>
    </w:rPr>
  </w:style>
  <w:style w:type="paragraph" w:customStyle="1" w:styleId="ChapterTitle">
    <w:name w:val="Chapter Title"/>
    <w:basedOn w:val="Normal"/>
    <w:pPr>
      <w:spacing w:after="240"/>
      <w:jc w:val="center"/>
    </w:pPr>
    <w:rPr>
      <w:b/>
      <w:bCs/>
      <w:sz w:val="36"/>
      <w:szCs w:val="36"/>
      <w:u w:val="single"/>
    </w:rPr>
  </w:style>
  <w:style w:type="paragraph" w:customStyle="1" w:styleId="a">
    <w:name w:val="สารบัญพื้น"/>
    <w:basedOn w:val="Normal"/>
    <w:pPr>
      <w:tabs>
        <w:tab w:val="right" w:leader="dot" w:pos="8640"/>
      </w:tabs>
    </w:pPr>
  </w:style>
  <w:style w:type="paragraph" w:customStyle="1" w:styleId="FormDetail">
    <w:name w:val="Form Detail"/>
    <w:basedOn w:val="Normal"/>
  </w:style>
  <w:style w:type="paragraph" w:customStyle="1" w:styleId="FormDetailIndFirst">
    <w:name w:val="Form Detail Ind First"/>
    <w:basedOn w:val="FormDetail"/>
    <w:pPr>
      <w:ind w:firstLine="720"/>
    </w:pPr>
  </w:style>
  <w:style w:type="paragraph" w:customStyle="1" w:styleId="FormDetailIndent">
    <w:name w:val="Form Detail Indent"/>
    <w:basedOn w:val="FormDetail"/>
    <w:pPr>
      <w:ind w:left="720"/>
    </w:pPr>
  </w:style>
  <w:style w:type="paragraph" w:customStyle="1" w:styleId="FormHeading">
    <w:name w:val="Form Heading"/>
    <w:basedOn w:val="FormDetail"/>
    <w:pPr>
      <w:jc w:val="center"/>
    </w:pPr>
    <w:rPr>
      <w:b/>
      <w:bCs/>
    </w:rPr>
  </w:style>
  <w:style w:type="paragraph" w:styleId="NormalIndent">
    <w:name w:val="Normal Indent"/>
    <w:basedOn w:val="Normal"/>
    <w:semiHidden/>
    <w:pPr>
      <w:ind w:left="720"/>
    </w:pPr>
  </w:style>
  <w:style w:type="paragraph" w:customStyle="1" w:styleId="Section">
    <w:name w:val="Section"/>
    <w:basedOn w:val="ChapterSubTitle"/>
    <w:pPr>
      <w:spacing w:before="240" w:after="120"/>
      <w:jc w:val="left"/>
    </w:pPr>
  </w:style>
  <w:style w:type="paragraph" w:styleId="TableofAuthorities">
    <w:name w:val="table of authorities"/>
    <w:aliases w:val="สารบัญ Authority,สารบัญ Authority1,สารบัญ Authority2,สารบัญ Authority3,สารบัญ Authority4,สารบัญ Authority5"/>
    <w:basedOn w:val="Normal"/>
    <w:semiHidden/>
    <w:pPr>
      <w:tabs>
        <w:tab w:val="right" w:leader="dot" w:pos="8640"/>
      </w:tabs>
      <w:ind w:left="360" w:hanging="360"/>
    </w:pPr>
  </w:style>
  <w:style w:type="paragraph" w:styleId="TableofFigures">
    <w:name w:val="table of figures"/>
    <w:aliases w:val="สารบัญภาพ1,สารบัญภาพ2,สารบัญภาพ3,สารบัญภาพ4,สารบัญภาพ5"/>
    <w:basedOn w:val="Normal"/>
    <w:semiHidden/>
    <w:pPr>
      <w:tabs>
        <w:tab w:val="right" w:leader="dot" w:pos="8640"/>
      </w:tabs>
      <w:ind w:left="720" w:hanging="720"/>
    </w:pPr>
  </w:style>
  <w:style w:type="paragraph" w:styleId="Title">
    <w:name w:val="Title"/>
    <w:aliases w:val="หัวเรื่อง,หัวเรื่อง1,หัวเรื่อง2,หัวเรื่อง3,หัวเรื่อง4,หัวเรื่อง5"/>
    <w:basedOn w:val="Normal"/>
    <w:next w:val="Normal"/>
    <w:qFormat/>
    <w:pPr>
      <w:keepNext/>
      <w:keepLines/>
      <w:spacing w:before="360"/>
      <w:jc w:val="center"/>
    </w:pPr>
    <w:rPr>
      <w:b/>
      <w:bCs/>
      <w:kern w:val="28"/>
      <w:sz w:val="40"/>
      <w:szCs w:val="40"/>
    </w:rPr>
  </w:style>
  <w:style w:type="paragraph" w:styleId="TOAHeading">
    <w:name w:val="toa heading"/>
    <w:aliases w:val="หัวข้อ TOA,หัวข้อ TOA1,หัวข้อ TOA2,หัวข้อ TOA3,หัวข้อ TOA4,หัวข้อ TOA5"/>
    <w:basedOn w:val="Normal"/>
    <w:next w:val="TableofAuthorities"/>
    <w:semiHidden/>
    <w:pPr>
      <w:keepNext/>
      <w:keepLines/>
      <w:spacing w:before="240" w:after="80"/>
    </w:pPr>
    <w:rPr>
      <w:b/>
      <w:bCs/>
      <w:kern w:val="28"/>
    </w:rPr>
  </w:style>
  <w:style w:type="paragraph" w:styleId="TOC1">
    <w:name w:val="toc 1"/>
    <w:aliases w:val="สารบัญ 11,สารบัญ 12,สารบัญ 13,สารบัญ 14,สารบัญ 15"/>
    <w:basedOn w:val="Normal"/>
    <w:autoRedefine/>
    <w:semiHidden/>
    <w:pPr>
      <w:tabs>
        <w:tab w:val="right" w:leader="dot" w:pos="8666"/>
      </w:tabs>
      <w:spacing w:after="120"/>
    </w:pPr>
    <w:rPr>
      <w:b/>
      <w:bCs/>
      <w:caps/>
    </w:rPr>
  </w:style>
  <w:style w:type="paragraph" w:styleId="TOC2">
    <w:name w:val="toc 2"/>
    <w:aliases w:val="สารบัญ 21,สารบัญ 22,สารบัญ 23,สารบัญ 24,สารบัญ 25"/>
    <w:basedOn w:val="TOC1"/>
    <w:autoRedefine/>
    <w:semiHidden/>
    <w:pPr>
      <w:spacing w:before="0" w:after="0"/>
    </w:pPr>
    <w:rPr>
      <w:b w:val="0"/>
      <w:bCs w:val="0"/>
      <w:caps w:val="0"/>
      <w:smallCaps/>
    </w:rPr>
  </w:style>
  <w:style w:type="paragraph" w:styleId="TOC3">
    <w:name w:val="toc 3"/>
    <w:aliases w:val="สารบัญ 31,สารบัญ 32,สารบัญ 33,สารบัญ 34,สารบัญ 35"/>
    <w:basedOn w:val="TOC2"/>
    <w:autoRedefine/>
    <w:semiHidden/>
    <w:pPr>
      <w:ind w:left="320"/>
    </w:pPr>
    <w:rPr>
      <w:smallCaps w:val="0"/>
    </w:rPr>
  </w:style>
  <w:style w:type="paragraph" w:styleId="TOC4">
    <w:name w:val="toc 4"/>
    <w:aliases w:val="สารบัญ 41,สารบัญ 42,สารบัญ 43,สารบัญ 44,สารบัญ 45"/>
    <w:basedOn w:val="TOC2"/>
    <w:autoRedefine/>
    <w:semiHidden/>
    <w:pPr>
      <w:ind w:left="640"/>
    </w:pPr>
    <w:rPr>
      <w:smallCaps w:val="0"/>
    </w:rPr>
  </w:style>
  <w:style w:type="paragraph" w:styleId="TOC5">
    <w:name w:val="toc 5"/>
    <w:aliases w:val="สารบัญ 51,สารบัญ 52,สารบัญ 53,สารบัญ 54,สารบัญ 55"/>
    <w:basedOn w:val="TOC2"/>
    <w:autoRedefine/>
    <w:semiHidden/>
    <w:pPr>
      <w:ind w:left="960"/>
    </w:pPr>
    <w:rPr>
      <w:smallCaps w:val="0"/>
    </w:rPr>
  </w:style>
  <w:style w:type="paragraph" w:styleId="TOC6">
    <w:name w:val="toc 6"/>
    <w:aliases w:val="สารบัญ 61,สารบัญ 62,สารบัญ 63,สารบัญ 64,สารบัญ 65"/>
    <w:basedOn w:val="TOC2"/>
    <w:autoRedefine/>
    <w:semiHidden/>
    <w:pPr>
      <w:ind w:left="1280"/>
    </w:pPr>
    <w:rPr>
      <w:smallCaps w:val="0"/>
    </w:rPr>
  </w:style>
  <w:style w:type="paragraph" w:styleId="TOC7">
    <w:name w:val="toc 7"/>
    <w:aliases w:val="สารบัญ 71,สารบัญ 72,สารบัญ 73,สารบัญ 74,สารบัญ 75"/>
    <w:basedOn w:val="TOC2"/>
    <w:autoRedefine/>
    <w:semiHidden/>
    <w:pPr>
      <w:ind w:left="1600"/>
    </w:pPr>
    <w:rPr>
      <w:smallCaps w:val="0"/>
    </w:rPr>
  </w:style>
  <w:style w:type="paragraph" w:styleId="TOC8">
    <w:name w:val="toc 8"/>
    <w:aliases w:val="สารบัญ 81,สารบัญ 82,สารบัญ 83,สารบัญ 84,สารบัญ 85"/>
    <w:basedOn w:val="TOC2"/>
    <w:autoRedefine/>
    <w:semiHidden/>
    <w:pPr>
      <w:ind w:left="1920"/>
    </w:pPr>
    <w:rPr>
      <w:smallCaps w:val="0"/>
    </w:rPr>
  </w:style>
  <w:style w:type="paragraph" w:styleId="TOC9">
    <w:name w:val="toc 9"/>
    <w:aliases w:val="สารบัญ 91,สารบัญ 92,สารบัญ 93,สารบัญ 94,สารบัญ 95"/>
    <w:basedOn w:val="TOC2"/>
    <w:autoRedefine/>
    <w:semiHidden/>
    <w:pPr>
      <w:ind w:left="2240"/>
    </w:pPr>
    <w:rPr>
      <w:smallCaps w:val="0"/>
    </w:rPr>
  </w:style>
  <w:style w:type="character" w:customStyle="1" w:styleId="a0">
    <w:name w:val="ตัวยก"/>
    <w:rPr>
      <w:vertAlign w:val="superscript"/>
      <w:lang w:bidi="th-TH"/>
    </w:rPr>
  </w:style>
  <w:style w:type="paragraph" w:customStyle="1" w:styleId="a1">
    <w:name w:val="เชิงอรรถพื้น"/>
    <w:basedOn w:val="Normal"/>
    <w:pPr>
      <w:tabs>
        <w:tab w:val="left" w:pos="187"/>
      </w:tabs>
      <w:spacing w:line="220" w:lineRule="exact"/>
      <w:ind w:left="187" w:hanging="187"/>
    </w:pPr>
    <w:rPr>
      <w:szCs w:val="22"/>
    </w:rPr>
  </w:style>
  <w:style w:type="character" w:customStyle="1" w:styleId="a2">
    <w:name w:val="เน้น"/>
    <w:rPr>
      <w:i/>
      <w:iCs/>
      <w:lang w:bidi="th-TH"/>
    </w:rPr>
  </w:style>
  <w:style w:type="character" w:customStyle="1" w:styleId="a3">
    <w:name w:val="เน้นเด่น"/>
    <w:rPr>
      <w:b/>
      <w:bCs/>
      <w:i/>
      <w:iCs/>
      <w:lang w:bidi="th-TH"/>
    </w:rPr>
  </w:style>
  <w:style w:type="character" w:styleId="CommentReference">
    <w:name w:val="annotation reference"/>
    <w:aliases w:val="อ้างอิงคำอธิบายประกอบ"/>
    <w:uiPriority w:val="99"/>
    <w:semiHidden/>
    <w:rPr>
      <w:sz w:val="20"/>
      <w:szCs w:val="20"/>
      <w:lang w:bidi="th-TH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pPr>
      <w:tabs>
        <w:tab w:val="left" w:pos="187"/>
      </w:tabs>
      <w:spacing w:after="120" w:line="220" w:lineRule="exact"/>
      <w:ind w:left="187" w:hanging="187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aliases w:val="เนื้อเรื่องเยื้อง,เนื้อเรื่องเยื้อง1,เนื้อเรื่องเยื้อง2,เนื้อเรื่องเยื้อง3,เนื้อเรื่องเยื้อง4"/>
    <w:basedOn w:val="BodyText"/>
    <w:semiHidden/>
    <w:pPr>
      <w:spacing w:after="160"/>
      <w:ind w:left="360"/>
    </w:pPr>
  </w:style>
  <w:style w:type="paragraph" w:customStyle="1" w:styleId="48BoldCenterPage">
    <w:name w:val="หัวข้อเรื่อง48&quot;BoldCenterPage"/>
    <w:basedOn w:val="Normal"/>
    <w:next w:val="Normal"/>
    <w:pPr>
      <w:pageBreakBefore/>
      <w:framePr w:hSpace="187" w:wrap="auto" w:vAnchor="page" w:hAnchor="text" w:yAlign="center"/>
      <w:jc w:val="center"/>
    </w:pPr>
    <w:rPr>
      <w:b/>
      <w:bCs/>
      <w:sz w:val="96"/>
      <w:szCs w:val="96"/>
    </w:rPr>
  </w:style>
  <w:style w:type="character" w:styleId="EndnoteReference">
    <w:name w:val="endnote reference"/>
    <w:aliases w:val="อ้างอิงท้ายเล่ม"/>
    <w:semiHidden/>
    <w:rPr>
      <w:vertAlign w:val="superscript"/>
      <w:lang w:bidi="th-TH"/>
    </w:rPr>
  </w:style>
  <w:style w:type="paragraph" w:styleId="EndnoteText">
    <w:name w:val="endnote text"/>
    <w:aliases w:val="ข้อความอ้างอิงท้ายเล่ม,ข้อความอ้างอิงท้ายเล่ม1,ข้อความอ้างอิงท้ายเล่ม2,ข้อความอ้างอิงท้ายเล่ม3,ข้อความอ้างอิงท้ายเล่ม4"/>
    <w:basedOn w:val="Normal"/>
    <w:semiHidden/>
    <w:pPr>
      <w:tabs>
        <w:tab w:val="left" w:pos="187"/>
      </w:tabs>
      <w:spacing w:after="120" w:line="220" w:lineRule="exact"/>
      <w:ind w:left="187" w:hanging="187"/>
    </w:pPr>
    <w:rPr>
      <w:szCs w:val="22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FootnoteReference">
    <w:name w:val="footnote reference"/>
    <w:aliases w:val="อ้างอิงเชิงอรรถ"/>
    <w:semiHidden/>
    <w:rPr>
      <w:vertAlign w:val="superscript"/>
      <w:lang w:bidi="th-TH"/>
    </w:rPr>
  </w:style>
  <w:style w:type="paragraph" w:styleId="FootnoteText">
    <w:name w:val="footnote text"/>
    <w:aliases w:val="ข้อความเชิงอรรถ1,ข้อความเชิงอรรถ2,ข้อความเชิงอรรถ3,ข้อความเชิงอรรถ4"/>
    <w:basedOn w:val="a1"/>
    <w:link w:val="FootnoteTextChar"/>
    <w:semiHidden/>
    <w:pPr>
      <w:spacing w:after="120"/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Index1">
    <w:name w:val="index 1"/>
    <w:aliases w:val="ดรรชนี 1,ดรรชนี 11,ดรรชนี 12,ดรรชนี 13,ดรรชนี 14"/>
    <w:basedOn w:val="Normal"/>
    <w:autoRedefine/>
    <w:semiHidden/>
    <w:pPr>
      <w:tabs>
        <w:tab w:val="right" w:leader="dot" w:pos="3960"/>
      </w:tabs>
      <w:ind w:left="720" w:hanging="720"/>
    </w:pPr>
  </w:style>
  <w:style w:type="paragraph" w:styleId="Index2">
    <w:name w:val="index 2"/>
    <w:aliases w:val="ดรรชนี 2,ดรรชนี 21,ดรรชนี 22,ดรรชนี 23,ดรรชนี 24"/>
    <w:basedOn w:val="Normal"/>
    <w:autoRedefine/>
    <w:semiHidden/>
    <w:pPr>
      <w:tabs>
        <w:tab w:val="right" w:leader="dot" w:pos="3960"/>
      </w:tabs>
      <w:ind w:left="1080" w:hanging="720"/>
    </w:pPr>
  </w:style>
  <w:style w:type="paragraph" w:styleId="Index3">
    <w:name w:val="index 3"/>
    <w:aliases w:val="ดรรชนี 3,ดรรชนี 31,ดรรชนี 32,ดรรชนี 33,ดรรชนี 34"/>
    <w:basedOn w:val="Normal"/>
    <w:autoRedefine/>
    <w:semiHidden/>
    <w:pPr>
      <w:tabs>
        <w:tab w:val="right" w:leader="dot" w:pos="3960"/>
      </w:tabs>
      <w:ind w:left="1440" w:hanging="720"/>
    </w:pPr>
  </w:style>
  <w:style w:type="paragraph" w:styleId="Index4">
    <w:name w:val="index 4"/>
    <w:aliases w:val="ดรรชนี 4,ดรรชนี 41,ดรรชนี 42,ดรรชนี 43,ดรรชนี 44"/>
    <w:basedOn w:val="Normal"/>
    <w:autoRedefine/>
    <w:semiHidden/>
    <w:pPr>
      <w:tabs>
        <w:tab w:val="right" w:leader="dot" w:pos="3960"/>
      </w:tabs>
      <w:ind w:left="1800" w:hanging="720"/>
    </w:pPr>
  </w:style>
  <w:style w:type="paragraph" w:styleId="Index5">
    <w:name w:val="index 5"/>
    <w:aliases w:val="ดรรชนี 5,ดรรชนี 51,ดรรชนี 52,ดรรชนี 53,ดรรชนี 54"/>
    <w:basedOn w:val="Normal"/>
    <w:autoRedefine/>
    <w:semiHidden/>
    <w:pPr>
      <w:tabs>
        <w:tab w:val="right" w:leader="dot" w:pos="3960"/>
      </w:tabs>
      <w:ind w:left="2160" w:hanging="720"/>
    </w:pPr>
  </w:style>
  <w:style w:type="paragraph" w:styleId="Index6">
    <w:name w:val="index 6"/>
    <w:aliases w:val="ดรรชนี 6,ดรรชนี 61,ดรรชนี 62,ดรรชนี 63,ดรรชนี 64"/>
    <w:basedOn w:val="Normal"/>
    <w:autoRedefine/>
    <w:semiHidden/>
    <w:pPr>
      <w:tabs>
        <w:tab w:val="right" w:leader="dot" w:pos="3960"/>
      </w:tabs>
      <w:ind w:left="1800" w:hanging="720"/>
    </w:pPr>
  </w:style>
  <w:style w:type="paragraph" w:styleId="Index7">
    <w:name w:val="index 7"/>
    <w:aliases w:val="ดรรชนี 7,ดรรชนี 71,ดรรชนี 72,ดรรชนี 73,ดรรชนี 74"/>
    <w:basedOn w:val="Normal"/>
    <w:autoRedefine/>
    <w:semiHidden/>
    <w:pPr>
      <w:tabs>
        <w:tab w:val="right" w:leader="dot" w:pos="3960"/>
      </w:tabs>
      <w:ind w:left="2160" w:hanging="720"/>
    </w:pPr>
  </w:style>
  <w:style w:type="paragraph" w:styleId="Index8">
    <w:name w:val="index 8"/>
    <w:aliases w:val="ดรรชนี 8,ดรรชนี 81,ดรรชนี 82,ดรรชนี 83,ดรรชนี 84"/>
    <w:basedOn w:val="Normal"/>
    <w:autoRedefine/>
    <w:semiHidden/>
    <w:pPr>
      <w:tabs>
        <w:tab w:val="right" w:leader="dot" w:pos="3960"/>
      </w:tabs>
      <w:ind w:left="2520" w:hanging="720"/>
    </w:pPr>
  </w:style>
  <w:style w:type="paragraph" w:styleId="Index9">
    <w:name w:val="index 9"/>
    <w:aliases w:val="ดรรชนี 9,ดรรชนี 91,ดรรชนี 92,ดรรชนี 93,ดรรชนี 94"/>
    <w:basedOn w:val="Normal"/>
    <w:autoRedefine/>
    <w:semiHidden/>
    <w:pPr>
      <w:tabs>
        <w:tab w:val="right" w:leader="dot" w:pos="3960"/>
      </w:tabs>
      <w:ind w:left="2880" w:hanging="720"/>
    </w:pPr>
  </w:style>
  <w:style w:type="paragraph" w:styleId="IndexHeading">
    <w:name w:val="index heading"/>
    <w:aliases w:val="หัวข้อดรรชนี,หัวข้อดรรชนี1,หัวข้อดรรชนี2,หัวข้อดรรชนี3,หัวข้อดรรชนี4"/>
    <w:basedOn w:val="Normal"/>
    <w:next w:val="Index1"/>
    <w:semiHidden/>
    <w:pPr>
      <w:keepNext/>
      <w:spacing w:before="240"/>
    </w:pPr>
    <w:rPr>
      <w:rFonts w:ascii="BrowalliaUPC" w:hAnsi="BrowalliaUPC" w:cs="BrowalliaUPC"/>
      <w:b/>
      <w:bCs/>
      <w:kern w:val="28"/>
    </w:rPr>
  </w:style>
  <w:style w:type="character" w:styleId="LineNumber">
    <w:name w:val="line number"/>
    <w:aliases w:val="เลขที่บรรทัด"/>
    <w:semiHidden/>
    <w:rPr>
      <w:rFonts w:ascii="BrowalliaUPC" w:hAnsi="BrowalliaUPC" w:cs="BrowalliaUPC"/>
      <w:sz w:val="22"/>
      <w:szCs w:val="22"/>
      <w:lang w:bidi="th-TH"/>
    </w:rPr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aliases w:val="รายการ 21,รายการ 22,รายการ 23,รายการ 24"/>
    <w:basedOn w:val="List"/>
    <w:semiHidden/>
    <w:pPr>
      <w:tabs>
        <w:tab w:val="left" w:pos="1080"/>
      </w:tabs>
      <w:spacing w:after="80"/>
      <w:ind w:left="1080"/>
    </w:pPr>
  </w:style>
  <w:style w:type="paragraph" w:styleId="List3">
    <w:name w:val="List 3"/>
    <w:aliases w:val="รายการ 31,รายการ 32,รายการ 33,รายการ 34"/>
    <w:basedOn w:val="List"/>
    <w:semiHidden/>
    <w:pPr>
      <w:tabs>
        <w:tab w:val="left" w:pos="1440"/>
      </w:tabs>
      <w:spacing w:after="80"/>
      <w:ind w:left="1440"/>
    </w:pPr>
  </w:style>
  <w:style w:type="paragraph" w:styleId="List4">
    <w:name w:val="List 4"/>
    <w:aliases w:val="รายการ 41,รายการ 42,รายการ 43,รายการ 44"/>
    <w:basedOn w:val="List"/>
    <w:semiHidden/>
    <w:pPr>
      <w:tabs>
        <w:tab w:val="left" w:pos="1800"/>
      </w:tabs>
      <w:spacing w:after="80"/>
      <w:ind w:left="1800"/>
    </w:pPr>
  </w:style>
  <w:style w:type="paragraph" w:styleId="List5">
    <w:name w:val="List 5"/>
    <w:aliases w:val="รายการ 51,รายการ 52,รายการ 53,รายการ 54"/>
    <w:basedOn w:val="List"/>
    <w:semiHidden/>
    <w:pPr>
      <w:tabs>
        <w:tab w:val="left" w:pos="2160"/>
      </w:tabs>
      <w:spacing w:after="80"/>
      <w:ind w:left="2160"/>
    </w:pPr>
  </w:style>
  <w:style w:type="paragraph" w:styleId="ListBullet">
    <w:name w:val="List Bullet"/>
    <w:basedOn w:val="Normal"/>
    <w:autoRedefine/>
    <w:semiHidden/>
    <w:pPr>
      <w:ind w:left="360" w:hanging="360"/>
    </w:pPr>
  </w:style>
  <w:style w:type="paragraph" w:styleId="ListBullet2">
    <w:name w:val="List Bullet 2"/>
    <w:aliases w:val="รายการเครื่องหมาย 2,รายการเครื่องหมาย 21,รายการเครื่องหมาย 22,รายการเครื่องหมาย 23,รายการเครื่องหมาย 24"/>
    <w:basedOn w:val="ListBullet"/>
    <w:autoRedefine/>
    <w:semiHidden/>
    <w:pPr>
      <w:ind w:left="1080"/>
    </w:pPr>
  </w:style>
  <w:style w:type="paragraph" w:styleId="ListBullet3">
    <w:name w:val="List Bullet 3"/>
    <w:aliases w:val="รายการเครื่องหมาย 3,รายการเครื่องหมาย 31,รายการเครื่องหมาย 32,รายการเครื่องหมาย 33,รายการเครื่องหมาย 34"/>
    <w:basedOn w:val="ListBullet"/>
    <w:autoRedefine/>
    <w:semiHidden/>
    <w:pPr>
      <w:ind w:left="1440"/>
    </w:pPr>
  </w:style>
  <w:style w:type="paragraph" w:styleId="ListBullet4">
    <w:name w:val="List Bullet 4"/>
    <w:aliases w:val="รายการเครื่องหมาย 4,รายการเครื่องหมาย 41,รายการเครื่องหมาย 42,รายการเครื่องหมาย 43,รายการเครื่องหมาย 44"/>
    <w:basedOn w:val="ListBullet"/>
    <w:autoRedefine/>
    <w:semiHidden/>
    <w:pPr>
      <w:ind w:left="1800"/>
    </w:pPr>
  </w:style>
  <w:style w:type="paragraph" w:styleId="ListBullet5">
    <w:name w:val="List Bullet 5"/>
    <w:aliases w:val="รายการเครื่องหมาย 5,รายการเครื่องหมาย 51,รายการเครื่องหมาย 52,รายการเครื่องหมาย 53,รายการเครื่องหมาย 54"/>
    <w:basedOn w:val="ListBullet"/>
    <w:autoRedefine/>
    <w:semiHidden/>
    <w:pPr>
      <w:ind w:left="2160"/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ListContinue2">
    <w:name w:val="List Continue 2"/>
    <w:aliases w:val="รายการต่อ 2,รายการต่อ 21,รายการต่อ 22,รายการต่อ 23,รายการต่อ 24"/>
    <w:basedOn w:val="ListContinue"/>
    <w:semiHidden/>
    <w:pPr>
      <w:spacing w:after="160"/>
      <w:ind w:left="1080" w:hanging="360"/>
    </w:pPr>
  </w:style>
  <w:style w:type="paragraph" w:styleId="ListContinue3">
    <w:name w:val="List Continue 3"/>
    <w:aliases w:val="รายการต่อ 3,รายการต่อ 31,รายการต่อ 32,รายการต่อ 33,รายการต่อ 34"/>
    <w:basedOn w:val="ListContinue"/>
    <w:semiHidden/>
    <w:pPr>
      <w:spacing w:after="160"/>
      <w:ind w:left="1440" w:hanging="360"/>
    </w:pPr>
  </w:style>
  <w:style w:type="paragraph" w:styleId="ListContinue4">
    <w:name w:val="List Continue 4"/>
    <w:aliases w:val="รายการต่อ 4,รายการต่อ 41,รายการต่อ 42,รายการต่อ 43,รายการต่อ 44"/>
    <w:basedOn w:val="ListContinue"/>
    <w:semiHidden/>
    <w:pPr>
      <w:spacing w:after="160"/>
      <w:ind w:left="1800" w:hanging="360"/>
    </w:pPr>
  </w:style>
  <w:style w:type="paragraph" w:styleId="ListContinue5">
    <w:name w:val="List Continue 5"/>
    <w:aliases w:val="รายการต่อ 5,รายการต่อ 51,รายการต่อ 52,รายการต่อ 53,รายการต่อ 54"/>
    <w:basedOn w:val="ListContinue"/>
    <w:semiHidden/>
    <w:pPr>
      <w:spacing w:after="160"/>
      <w:ind w:left="2160" w:hanging="360"/>
    </w:pPr>
  </w:style>
  <w:style w:type="paragraph" w:styleId="ListNumber">
    <w:name w:val="List Number"/>
    <w:basedOn w:val="Normal"/>
    <w:semiHidden/>
    <w:pPr>
      <w:ind w:left="360" w:hanging="360"/>
    </w:pPr>
  </w:style>
  <w:style w:type="paragraph" w:styleId="ListNumber2">
    <w:name w:val="List Number 2"/>
    <w:aliases w:val="รายการเลข 2,รายการเลข 21,รายการเลข 22,รายการเลข 23,รายการเลข 24"/>
    <w:basedOn w:val="ListNumber"/>
    <w:semiHidden/>
    <w:pPr>
      <w:ind w:left="1080"/>
    </w:pPr>
  </w:style>
  <w:style w:type="paragraph" w:styleId="ListNumber3">
    <w:name w:val="List Number 3"/>
    <w:aliases w:val="รายการเลข 3,รายการเลข 31,รายการเลข 32,รายการเลข 33,รายการเลข 34"/>
    <w:basedOn w:val="ListNumber"/>
    <w:semiHidden/>
    <w:pPr>
      <w:ind w:left="1440"/>
    </w:pPr>
  </w:style>
  <w:style w:type="paragraph" w:styleId="ListNumber4">
    <w:name w:val="List Number 4"/>
    <w:aliases w:val="รายการเลข 4,รายการเลข 41,รายการเลข 42,รายการเลข 43,รายการเลข 44"/>
    <w:basedOn w:val="ListNumber"/>
    <w:semiHidden/>
    <w:pPr>
      <w:ind w:left="1800"/>
    </w:pPr>
  </w:style>
  <w:style w:type="paragraph" w:styleId="ListNumber5">
    <w:name w:val="List Number 5"/>
    <w:aliases w:val="รายการเลข 5,รายการเลข 51,รายการเลข 52,รายการเลข 53,รายการเลข 54"/>
    <w:basedOn w:val="ListNumber"/>
    <w:semiHidden/>
    <w:pPr>
      <w:ind w:left="2160"/>
    </w:pPr>
  </w:style>
  <w:style w:type="paragraph" w:styleId="MessageHeader">
    <w:name w:val="Message Header"/>
    <w:aliases w:val="หัวข้อเรื่อง,หัวข้อเรื่อง1,หัวข้อเรื่อง2,หัวข้อเรื่อง3,หัวข้อเรื่อง4"/>
    <w:basedOn w:val="BodyText"/>
    <w:semiHidden/>
    <w:pPr>
      <w:keepLines/>
      <w:tabs>
        <w:tab w:val="left" w:pos="3600"/>
        <w:tab w:val="left" w:pos="4680"/>
      </w:tabs>
      <w:spacing w:after="240"/>
      <w:ind w:left="1080" w:right="2880" w:hanging="1080"/>
    </w:pPr>
    <w:rPr>
      <w:rFonts w:ascii="BrowalliaUPC" w:hAnsi="BrowalliaUPC" w:cs="BrowalliaUPC"/>
    </w:rPr>
  </w:style>
  <w:style w:type="paragraph" w:customStyle="1" w:styleId="Normal14">
    <w:name w:val="Normal14"/>
    <w:basedOn w:val="Normal"/>
  </w:style>
  <w:style w:type="character" w:styleId="PageNumber">
    <w:name w:val="page number"/>
    <w:aliases w:val="เลขหน้า"/>
    <w:semiHidden/>
    <w:rPr>
      <w:b/>
      <w:bCs/>
      <w:lang w:bidi="th-TH"/>
    </w:rPr>
  </w:style>
  <w:style w:type="paragraph" w:styleId="Subtitle">
    <w:name w:val="Subtitle"/>
    <w:aliases w:val="หัวรอง,หัวรอง1,หัวรอง2,หัวรอง3,หัวรอง4"/>
    <w:basedOn w:val="Title"/>
    <w:next w:val="BodyText"/>
    <w:qFormat/>
    <w:pPr>
      <w:spacing w:before="0" w:after="240"/>
    </w:pPr>
    <w:rPr>
      <w:rFonts w:ascii="BrowalliaUPC" w:hAnsi="BrowalliaUPC" w:cs="BrowalliaUPC"/>
      <w:b w:val="0"/>
      <w:bCs w:val="0"/>
      <w:i/>
      <w:iCs/>
      <w:sz w:val="32"/>
      <w:szCs w:val="32"/>
    </w:rPr>
  </w:style>
  <w:style w:type="paragraph" w:customStyle="1" w:styleId="Normat14">
    <w:name w:val="Normat14"/>
    <w:basedOn w:val="Normal"/>
  </w:style>
  <w:style w:type="paragraph" w:customStyle="1" w:styleId="XX">
    <w:name w:val="เอกสารแบบXX"/>
    <w:basedOn w:val="Normal"/>
    <w:pPr>
      <w:ind w:left="360" w:hanging="360"/>
    </w:pPr>
  </w:style>
  <w:style w:type="character" w:customStyle="1" w:styleId="HeaderChar">
    <w:name w:val="Header Char"/>
    <w:link w:val="Header"/>
    <w:rsid w:val="00BD7DE5"/>
    <w:rPr>
      <w:rFonts w:ascii="AngsanaUPC" w:hAnsi="AngsanaUPC" w:cs="AngsanaUPC"/>
      <w:snapToGrid w:val="0"/>
      <w:sz w:val="28"/>
      <w:szCs w:val="28"/>
      <w:lang w:val="en-US" w:eastAsia="th-TH"/>
    </w:rPr>
  </w:style>
  <w:style w:type="character" w:customStyle="1" w:styleId="FootnoteTextChar">
    <w:name w:val="Footnote Text Char"/>
    <w:aliases w:val="ข้อความเชิงอรรถ1 Char,ข้อความเชิงอรรถ2 Char,ข้อความเชิงอรรถ3 Char,ข้อความเชิงอรรถ4 Char"/>
    <w:link w:val="FootnoteText"/>
    <w:semiHidden/>
    <w:rsid w:val="003614A6"/>
    <w:rPr>
      <w:rFonts w:ascii="AngsanaUPC" w:hAnsi="AngsanaUPC" w:cs="AngsanaUPC"/>
      <w:snapToGrid w:val="0"/>
      <w:sz w:val="22"/>
      <w:szCs w:val="22"/>
      <w:lang w:eastAsia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57C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BD557C"/>
    <w:rPr>
      <w:rFonts w:ascii="Segoe UI" w:hAnsi="Segoe UI"/>
      <w:snapToGrid w:val="0"/>
      <w:sz w:val="18"/>
      <w:szCs w:val="22"/>
      <w:lang w:eastAsia="th-TH"/>
    </w:rPr>
  </w:style>
  <w:style w:type="paragraph" w:customStyle="1" w:styleId="Default">
    <w:name w:val="Default"/>
    <w:rsid w:val="00CC2BC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F5B0C"/>
    <w:pPr>
      <w:spacing w:before="100" w:beforeAutospacing="1" w:after="100" w:afterAutospacing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0A85"/>
    <w:pPr>
      <w:tabs>
        <w:tab w:val="clear" w:pos="187"/>
      </w:tabs>
      <w:spacing w:after="0" w:line="240" w:lineRule="auto"/>
      <w:ind w:left="0" w:firstLine="0"/>
    </w:pPr>
    <w:rPr>
      <w:rFonts w:cs="Angsana New"/>
      <w:b/>
      <w:bCs/>
      <w:sz w:val="20"/>
      <w:szCs w:val="25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uiPriority w:val="99"/>
    <w:rsid w:val="00E10A85"/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sid w:val="00E10A85"/>
    <w:rPr>
      <w:rFonts w:ascii="Times New Roman" w:eastAsia="Times New Roman" w:hAnsi="Times New Roman" w:cs="Times New Roman"/>
      <w:b/>
      <w:bCs/>
      <w:sz w:val="24"/>
      <w:szCs w:val="25"/>
    </w:rPr>
  </w:style>
  <w:style w:type="paragraph" w:styleId="Revision">
    <w:name w:val="Revision"/>
    <w:hidden/>
    <w:uiPriority w:val="99"/>
    <w:semiHidden/>
    <w:rsid w:val="00E10A85"/>
    <w:rPr>
      <w:rFonts w:ascii="Times New Roman" w:eastAsia="Times New Roman" w:hAnsi="Times New Roman"/>
      <w:sz w:val="24"/>
      <w:szCs w:val="30"/>
    </w:rPr>
  </w:style>
  <w:style w:type="character" w:customStyle="1" w:styleId="Heading1Char">
    <w:name w:val="Heading 1 Char"/>
    <w:aliases w:val="หัวข้อ 1 Char,หัวข้อ 11 Char,หัวข้อ 12 Char,หัวข้อ 13 Char,หัวข้อ 14 Char"/>
    <w:basedOn w:val="DefaultParagraphFont"/>
    <w:link w:val="Heading1"/>
    <w:uiPriority w:val="9"/>
    <w:rsid w:val="00D6777B"/>
    <w:rPr>
      <w:rFonts w:asciiTheme="majorHAnsi" w:eastAsiaTheme="majorEastAsia" w:hAnsiTheme="majorHAnsi" w:cs="TH SarabunPSK"/>
      <w:sz w:val="40"/>
      <w:szCs w:val="50"/>
    </w:rPr>
  </w:style>
  <w:style w:type="character" w:customStyle="1" w:styleId="Heading2Char">
    <w:name w:val="Heading 2 Char"/>
    <w:aliases w:val="หัวข้อ 2 Char,หัวข้อ 21 Char,หัวข้อ 22 Char,หัวข้อ 23 Char,หัวข้อ 24 Char"/>
    <w:basedOn w:val="DefaultParagraphFont"/>
    <w:link w:val="Heading2"/>
    <w:uiPriority w:val="9"/>
    <w:rsid w:val="00D6777B"/>
    <w:rPr>
      <w:rFonts w:asciiTheme="majorHAnsi" w:eastAsiaTheme="majorEastAsia" w:hAnsiTheme="majorHAnsi" w:cs="TH SarabunPSK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b41fdc-75f0-4d74-92a4-15984fab348a" xsi:nil="true"/>
    <_ip_UnifiedCompliancePolicyProperties xmlns="http://schemas.microsoft.com/sharepoint/v3" xsi:nil="true"/>
    <lcf76f155ced4ddcb4097134ff3c332f xmlns="4f7b99b8-5633-45e4-b1d6-3807719ff8a6">
      <Terms xmlns="http://schemas.microsoft.com/office/infopath/2007/PartnerControls"/>
    </lcf76f155ced4ddcb4097134ff3c332f>
    <SharedWithUsers xmlns="2eb41fdc-75f0-4d74-92a4-15984fab348a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96E0F8C3081343B00DD9E005B22E3E" ma:contentTypeVersion="23" ma:contentTypeDescription="Create a new document." ma:contentTypeScope="" ma:versionID="b4a64b56571962b06eb6abdcb69214a6">
  <xsd:schema xmlns:xsd="http://www.w3.org/2001/XMLSchema" xmlns:xs="http://www.w3.org/2001/XMLSchema" xmlns:p="http://schemas.microsoft.com/office/2006/metadata/properties" xmlns:ns1="http://schemas.microsoft.com/sharepoint/v3" xmlns:ns2="4f7b99b8-5633-45e4-b1d6-3807719ff8a6" xmlns:ns3="2eb41fdc-75f0-4d74-92a4-15984fab348a" targetNamespace="http://schemas.microsoft.com/office/2006/metadata/properties" ma:root="true" ma:fieldsID="e38fec400ba1433b5e169fd0fdc60709" ns1:_="" ns2:_="" ns3:_="">
    <xsd:import namespace="http://schemas.microsoft.com/sharepoint/v3"/>
    <xsd:import namespace="4f7b99b8-5633-45e4-b1d6-3807719ff8a6"/>
    <xsd:import namespace="2eb41fdc-75f0-4d74-92a4-15984fab34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b99b8-5633-45e4-b1d6-3807719ff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41fdc-75f0-4d74-92a4-15984fab34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ffa2b43-c6c8-4896-afa0-c82892a29dae}" ma:internalName="TaxCatchAll" ma:showField="CatchAllData" ma:web="2eb41fdc-75f0-4d74-92a4-15984fab34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C05ADD-E87E-406E-A8AA-09E7DC3A9A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431ED0-612C-4F0B-A742-82F4F2883E3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eb41fdc-75f0-4d74-92a4-15984fab348a"/>
    <ds:schemaRef ds:uri="4f7b99b8-5633-45e4-b1d6-3807719ff8a6"/>
  </ds:schemaRefs>
</ds:datastoreItem>
</file>

<file path=customXml/itemProps3.xml><?xml version="1.0" encoding="utf-8"?>
<ds:datastoreItem xmlns:ds="http://schemas.openxmlformats.org/officeDocument/2006/customXml" ds:itemID="{9498622B-0080-4172-99B6-0C5B9FD0C7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A7FC5B-FACE-4474-82D4-DD8362251A85}"/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ประกาศคณะกรรมการกำกับหลักทรัพย์และตลาดหลักทรัพย์</vt:lpstr>
      <vt:lpstr>ประกาศคณะกรรมการกำกับหลักทรัพย์และตลาดหลักทรัพย์</vt:lpstr>
    </vt:vector>
  </TitlesOfParts>
  <Company>sec</Company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ประกาศคณะกรรมการกำกับหลักทรัพย์และตลาดหลักทรัพย์</dc:title>
  <dc:subject/>
  <dc:creator>SEC</dc:creator>
  <cp:keywords/>
  <dc:description/>
  <cp:lastModifiedBy>Natcha Charudhanes</cp:lastModifiedBy>
  <cp:revision>20</cp:revision>
  <cp:lastPrinted>2017-11-24T08:14:00Z</cp:lastPrinted>
  <dcterms:created xsi:type="dcterms:W3CDTF">2023-03-24T02:39:00Z</dcterms:created>
  <dcterms:modified xsi:type="dcterms:W3CDTF">2026-08-21T06:44:00Z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3df69d-cc49-4c13-988f-0bcfcc9b663c_Enabled">
    <vt:lpwstr>true</vt:lpwstr>
  </property>
  <property fmtid="{D5CDD505-2E9C-101B-9397-08002B2CF9AE}" pid="3" name="MSIP_Label_0e3df69d-cc49-4c13-988f-0bcfcc9b663c_SetDate">
    <vt:lpwstr>2023-03-13T05:27:09Z</vt:lpwstr>
  </property>
  <property fmtid="{D5CDD505-2E9C-101B-9397-08002B2CF9AE}" pid="4" name="MSIP_Label_0e3df69d-cc49-4c13-988f-0bcfcc9b663c_Method">
    <vt:lpwstr>Standard</vt:lpwstr>
  </property>
  <property fmtid="{D5CDD505-2E9C-101B-9397-08002B2CF9AE}" pid="5" name="MSIP_Label_0e3df69d-cc49-4c13-988f-0bcfcc9b663c_Name">
    <vt:lpwstr>Internal_0</vt:lpwstr>
  </property>
  <property fmtid="{D5CDD505-2E9C-101B-9397-08002B2CF9AE}" pid="6" name="MSIP_Label_0e3df69d-cc49-4c13-988f-0bcfcc9b663c_SiteId">
    <vt:lpwstr>0ad5298e-296d-45ab-a446-c0d364c5b18b</vt:lpwstr>
  </property>
  <property fmtid="{D5CDD505-2E9C-101B-9397-08002B2CF9AE}" pid="7" name="MSIP_Label_0e3df69d-cc49-4c13-988f-0bcfcc9b663c_ActionId">
    <vt:lpwstr>f9be1f1d-5beb-4d30-ab7a-5e11b1ccbb00</vt:lpwstr>
  </property>
  <property fmtid="{D5CDD505-2E9C-101B-9397-08002B2CF9AE}" pid="8" name="MSIP_Label_0e3df69d-cc49-4c13-988f-0bcfcc9b663c_ContentBits">
    <vt:lpwstr>0</vt:lpwstr>
  </property>
  <property fmtid="{D5CDD505-2E9C-101B-9397-08002B2CF9AE}" pid="9" name="ContentTypeId">
    <vt:lpwstr>0x0101003796E0F8C3081343B00DD9E005B22E3E</vt:lpwstr>
  </property>
  <property fmtid="{D5CDD505-2E9C-101B-9397-08002B2CF9AE}" pid="10" name="MediaServiceImageTags">
    <vt:lpwstr/>
  </property>
  <property fmtid="{D5CDD505-2E9C-101B-9397-08002B2CF9AE}" pid="11" name="Order">
    <vt:r8>609500</vt:r8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docLang">
    <vt:lpwstr>en</vt:lpwstr>
  </property>
</Properties>
</file>