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D48A" w14:textId="72A43357" w:rsidR="005D7620" w:rsidRDefault="005D7620" w:rsidP="001534F2">
      <w:pPr>
        <w:spacing w:after="0"/>
        <w:ind w:right="-810"/>
        <w:jc w:val="right"/>
        <w:rPr>
          <w:rFonts w:eastAsia="Calibri"/>
          <w:sz w:val="28"/>
          <w:szCs w:val="28"/>
        </w:rPr>
      </w:pPr>
      <w:r w:rsidRPr="00B64BC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A06B" wp14:editId="758798C7">
                <wp:simplePos x="0" y="0"/>
                <wp:positionH relativeFrom="margin">
                  <wp:posOffset>4198684</wp:posOffset>
                </wp:positionH>
                <wp:positionV relativeFrom="paragraph">
                  <wp:posOffset>-55028</wp:posOffset>
                </wp:positionV>
                <wp:extent cx="2383155" cy="109043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155" cy="10904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AD223" w14:textId="7F8B5FF0" w:rsidR="000B2DC7" w:rsidRPr="00F62663" w:rsidRDefault="000B2DC7" w:rsidP="000B2DC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B5F45"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ภาคผนวก </w:t>
                            </w:r>
                            <w:r w:rsidRPr="00AB5F45">
                              <w:rPr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Pr="00AB5F45"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AB5F45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[แนบท้ายประกาศที่ สน.</w:t>
                            </w:r>
                            <w:r w:rsidR="00601802" w:rsidRPr="00AB5F4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AB5F45">
                              <w:rPr>
                                <w:rFonts w:hint="cs"/>
                                <w:sz w:val="24"/>
                                <w:szCs w:val="24"/>
                              </w:rPr>
                              <w:t>9</w:t>
                            </w:r>
                            <w:r w:rsidRPr="00AB5F45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AB5F45">
                              <w:rPr>
                                <w:rFonts w:hint="cs"/>
                                <w:sz w:val="24"/>
                                <w:szCs w:val="24"/>
                              </w:rPr>
                              <w:t>2564</w:t>
                            </w:r>
                            <w:r w:rsidRPr="00AB5F4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5F45"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5F45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ซึ่งแก้ไขเพิ่มเติมโดย</w:t>
                            </w:r>
                            <w:r w:rsidRPr="0092182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ประกาศ ที่ สน.</w:t>
                            </w:r>
                            <w:r w:rsidR="00D701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4441">
                              <w:rPr>
                                <w:sz w:val="24"/>
                                <w:szCs w:val="24"/>
                              </w:rPr>
                              <w:t>49</w:t>
                            </w:r>
                            <w:r w:rsidRPr="0092182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/256</w:t>
                            </w:r>
                            <w:r w:rsidR="00432122" w:rsidRPr="0092182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2182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80C1E" w:rsidRPr="009218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182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(ฉบับที่</w:t>
                            </w:r>
                            <w:r w:rsidR="00D701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4441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92182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)]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A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6pt;margin-top:-4.35pt;width:187.65pt;height: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" fillcolor="window" stroked="f" strokeweight=".5pt">
                <v:textbox>
                  <w:txbxContent>
                    <w:p w14:paraId="2A0AD223" w14:textId="7F8B5FF0" w:rsidR="000B2DC7" w:rsidRPr="00F62663" w:rsidRDefault="000B2DC7" w:rsidP="000B2DC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B5F45"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 xml:space="preserve">ภาคผนวก </w:t>
                      </w:r>
                      <w:r w:rsidRPr="00AB5F45">
                        <w:rPr>
                          <w:b/>
                          <w:bCs/>
                          <w:sz w:val="28"/>
                        </w:rPr>
                        <w:t>2</w:t>
                      </w:r>
                      <w:r w:rsidRPr="00AB5F45"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AB5F45">
                        <w:rPr>
                          <w:rFonts w:hint="cs"/>
                          <w:sz w:val="24"/>
                          <w:szCs w:val="24"/>
                          <w:cs/>
                        </w:rPr>
                        <w:t>[แนบท้ายประกาศที่ สน.</w:t>
                      </w:r>
                      <w:r w:rsidR="00601802" w:rsidRPr="00AB5F45">
                        <w:rPr>
                          <w:sz w:val="24"/>
                          <w:szCs w:val="24"/>
                        </w:rPr>
                        <w:t>6</w:t>
                      </w:r>
                      <w:r w:rsidRPr="00AB5F45">
                        <w:rPr>
                          <w:rFonts w:hint="cs"/>
                          <w:sz w:val="24"/>
                          <w:szCs w:val="24"/>
                        </w:rPr>
                        <w:t>9</w:t>
                      </w:r>
                      <w:r w:rsidRPr="00AB5F45">
                        <w:rPr>
                          <w:rFonts w:hint="cs"/>
                          <w:sz w:val="24"/>
                          <w:szCs w:val="24"/>
                          <w:cs/>
                        </w:rPr>
                        <w:t>/</w:t>
                      </w:r>
                      <w:r w:rsidRPr="00AB5F45">
                        <w:rPr>
                          <w:rFonts w:hint="cs"/>
                          <w:sz w:val="24"/>
                          <w:szCs w:val="24"/>
                        </w:rPr>
                        <w:t>2564</w:t>
                      </w:r>
                      <w:r w:rsidRPr="00AB5F4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B5F45"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  <w:r w:rsidRPr="00AB5F45">
                        <w:rPr>
                          <w:rFonts w:hint="cs"/>
                          <w:sz w:val="24"/>
                          <w:szCs w:val="24"/>
                          <w:cs/>
                        </w:rPr>
                        <w:t>ซึ่งแก้ไขเพิ่มเติมโดย</w:t>
                      </w:r>
                      <w:r w:rsidRPr="00921826">
                        <w:rPr>
                          <w:rFonts w:hint="cs"/>
                          <w:sz w:val="24"/>
                          <w:szCs w:val="24"/>
                          <w:cs/>
                        </w:rPr>
                        <w:t>ประกาศ ที่ สน.</w:t>
                      </w:r>
                      <w:r w:rsidR="00D701B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54441">
                        <w:rPr>
                          <w:sz w:val="24"/>
                          <w:szCs w:val="24"/>
                        </w:rPr>
                        <w:t>49</w:t>
                      </w:r>
                      <w:r w:rsidRPr="00921826">
                        <w:rPr>
                          <w:rFonts w:hint="cs"/>
                          <w:sz w:val="24"/>
                          <w:szCs w:val="24"/>
                          <w:cs/>
                        </w:rPr>
                        <w:t>/256</w:t>
                      </w:r>
                      <w:r w:rsidR="00432122" w:rsidRPr="00921826">
                        <w:rPr>
                          <w:sz w:val="24"/>
                          <w:szCs w:val="24"/>
                        </w:rPr>
                        <w:t>8</w:t>
                      </w:r>
                      <w:r w:rsidRPr="00921826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80C1E" w:rsidRPr="0092182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21826">
                        <w:rPr>
                          <w:rFonts w:hint="cs"/>
                          <w:sz w:val="24"/>
                          <w:szCs w:val="24"/>
                          <w:cs/>
                        </w:rPr>
                        <w:t>(ฉบับที่</w:t>
                      </w:r>
                      <w:r w:rsidR="00D701B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54441">
                        <w:rPr>
                          <w:sz w:val="24"/>
                          <w:szCs w:val="24"/>
                        </w:rPr>
                        <w:t>10</w:t>
                      </w:r>
                      <w:r w:rsidRPr="00921826">
                        <w:rPr>
                          <w:rFonts w:hint="cs"/>
                          <w:sz w:val="24"/>
                          <w:szCs w:val="24"/>
                          <w:cs/>
                        </w:rPr>
                        <w:t>)]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542D0" w14:textId="77691A0D" w:rsidR="005D7620" w:rsidRDefault="005D7620" w:rsidP="001534F2">
      <w:pPr>
        <w:spacing w:after="0"/>
        <w:ind w:right="-810"/>
        <w:jc w:val="right"/>
        <w:rPr>
          <w:rFonts w:eastAsia="Calibri"/>
          <w:sz w:val="28"/>
          <w:szCs w:val="28"/>
        </w:rPr>
      </w:pPr>
    </w:p>
    <w:p w14:paraId="4E994FE1" w14:textId="33417EA4" w:rsidR="001534F2" w:rsidRPr="00D465D6" w:rsidRDefault="001534F2" w:rsidP="001534F2">
      <w:pPr>
        <w:spacing w:after="0"/>
        <w:ind w:right="-810"/>
        <w:jc w:val="right"/>
        <w:rPr>
          <w:rFonts w:eastAsia="Calibri"/>
          <w:sz w:val="28"/>
          <w:szCs w:val="28"/>
          <w:cs/>
        </w:rPr>
      </w:pPr>
    </w:p>
    <w:p w14:paraId="6A9A4540" w14:textId="79EC46E3" w:rsidR="001534F2" w:rsidRPr="00D465D6" w:rsidRDefault="001534F2" w:rsidP="00A02915">
      <w:pPr>
        <w:spacing w:after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D465D6">
        <w:rPr>
          <w:rFonts w:eastAsia="Calibri"/>
          <w:b/>
          <w:bCs/>
          <w:sz w:val="28"/>
          <w:szCs w:val="28"/>
          <w:u w:val="single"/>
          <w:cs/>
        </w:rPr>
        <w:t>รายการและข้อมูลในหนังสือชี้ชวน</w:t>
      </w:r>
    </w:p>
    <w:p w14:paraId="3B5F9246" w14:textId="3855F799" w:rsidR="001534F2" w:rsidRPr="00D465D6" w:rsidRDefault="001534F2" w:rsidP="00A02915">
      <w:pPr>
        <w:spacing w:before="240" w:after="0"/>
        <w:jc w:val="thaiDistribute"/>
        <w:rPr>
          <w:sz w:val="28"/>
          <w:szCs w:val="28"/>
        </w:rPr>
      </w:pPr>
      <w:r w:rsidRPr="00D465D6">
        <w:rPr>
          <w:sz w:val="28"/>
          <w:szCs w:val="28"/>
          <w:cs/>
        </w:rPr>
        <w:t>หนังสือชี้ชวนส่วนข้อมูลกองทุน</w:t>
      </w:r>
      <w:r w:rsidR="00E91B78" w:rsidRPr="00D465D6">
        <w:rPr>
          <w:sz w:val="28"/>
          <w:szCs w:val="28"/>
          <w:cs/>
        </w:rPr>
        <w:t>รวม</w:t>
      </w:r>
      <w:r w:rsidRPr="00D465D6">
        <w:rPr>
          <w:sz w:val="28"/>
          <w:szCs w:val="28"/>
          <w:cs/>
        </w:rPr>
        <w:t xml:space="preserve"> ให้มีรายการ</w:t>
      </w:r>
      <w:r w:rsidR="00B04F30" w:rsidRPr="00D465D6">
        <w:rPr>
          <w:sz w:val="28"/>
          <w:szCs w:val="28"/>
          <w:cs/>
        </w:rPr>
        <w:t>และข้อมูล</w:t>
      </w:r>
      <w:r w:rsidRPr="00D465D6">
        <w:rPr>
          <w:sz w:val="28"/>
          <w:szCs w:val="28"/>
          <w:cs/>
        </w:rPr>
        <w:t>อย่างน้อยดังนี้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510"/>
        <w:gridCol w:w="5850"/>
      </w:tblGrid>
      <w:tr w:rsidR="001534F2" w:rsidRPr="00D465D6" w14:paraId="3053EA9D" w14:textId="77777777" w:rsidTr="003C29F1">
        <w:trPr>
          <w:tblHeader/>
        </w:trPr>
        <w:tc>
          <w:tcPr>
            <w:tcW w:w="3510" w:type="dxa"/>
            <w:shd w:val="clear" w:color="auto" w:fill="F2F2F2" w:themeFill="background1" w:themeFillShade="F2"/>
          </w:tcPr>
          <w:p w14:paraId="20251F8A" w14:textId="5571E594" w:rsidR="001534F2" w:rsidRPr="00D465D6" w:rsidRDefault="001534F2" w:rsidP="001534F2">
            <w:pPr>
              <w:jc w:val="center"/>
            </w:pPr>
            <w:r w:rsidRPr="00D465D6">
              <w:rPr>
                <w:sz w:val="28"/>
                <w:szCs w:val="28"/>
                <w:cs/>
              </w:rPr>
              <w:t>รายการ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4B37A223" w14:textId="5E9BED5E" w:rsidR="001534F2" w:rsidRPr="00D465D6" w:rsidRDefault="001534F2" w:rsidP="001534F2">
            <w:pPr>
              <w:jc w:val="center"/>
            </w:pPr>
            <w:r w:rsidRPr="00D465D6">
              <w:rPr>
                <w:sz w:val="28"/>
                <w:szCs w:val="28"/>
                <w:cs/>
              </w:rPr>
              <w:t>รายละเอียดของข้อมูล</w:t>
            </w:r>
          </w:p>
        </w:tc>
      </w:tr>
      <w:tr w:rsidR="001534F2" w:rsidRPr="00FC5D99" w14:paraId="12C0B2E2" w14:textId="77777777" w:rsidTr="003C29F1">
        <w:tc>
          <w:tcPr>
            <w:tcW w:w="3510" w:type="dxa"/>
          </w:tcPr>
          <w:p w14:paraId="1E5C50F8" w14:textId="32B7CF24" w:rsidR="001534F2" w:rsidRPr="00D465D6" w:rsidRDefault="001534F2">
            <w:r w:rsidRPr="00D465D6">
              <w:rPr>
                <w:rFonts w:eastAsia="Calibri"/>
                <w:sz w:val="28"/>
                <w:szCs w:val="28"/>
                <w:cs/>
              </w:rPr>
              <w:t>1.  สรุป</w:t>
            </w:r>
            <w:r w:rsidR="00E4204A" w:rsidRPr="00D465D6">
              <w:rPr>
                <w:rFonts w:eastAsia="Calibri"/>
                <w:sz w:val="28"/>
                <w:szCs w:val="28"/>
                <w:cs/>
              </w:rPr>
              <w:t>ข้อมูล</w:t>
            </w:r>
            <w:r w:rsidRPr="00D465D6">
              <w:rPr>
                <w:rFonts w:eastAsia="Calibri"/>
                <w:sz w:val="28"/>
                <w:szCs w:val="28"/>
                <w:cs/>
              </w:rPr>
              <w:t>กองทุน</w:t>
            </w:r>
            <w:r w:rsidR="00E91B78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rFonts w:eastAsia="Calibri"/>
                <w:sz w:val="28"/>
                <w:szCs w:val="28"/>
                <w:u w:val="single"/>
                <w:cs/>
              </w:rPr>
              <w:t xml:space="preserve">  </w:t>
            </w:r>
            <w:r w:rsidRPr="00D465D6">
              <w:rPr>
                <w:rFonts w:eastAsia="Calibri"/>
                <w:sz w:val="28"/>
                <w:szCs w:val="28"/>
                <w:u w:val="single"/>
                <w:cs/>
              </w:rPr>
              <w:br/>
            </w:r>
          </w:p>
        </w:tc>
        <w:tc>
          <w:tcPr>
            <w:tcW w:w="5850" w:type="dxa"/>
          </w:tcPr>
          <w:p w14:paraId="211B6161" w14:textId="328924AB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ให้แสดงข้อมูลอย่างน้อยดังนี้</w:t>
            </w:r>
          </w:p>
          <w:p w14:paraId="3273845B" w14:textId="09777FCE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1.1  ประเภทและนโยบายการลงทุนของกองทุน</w:t>
            </w:r>
            <w:r w:rsidR="00E91B78" w:rsidRPr="00D465D6">
              <w:rPr>
                <w:sz w:val="28"/>
                <w:szCs w:val="28"/>
                <w:cs/>
              </w:rPr>
              <w:t>รวม</w:t>
            </w:r>
          </w:p>
          <w:p w14:paraId="7E7B0D2D" w14:textId="2BA62D0F" w:rsidR="006F3591" w:rsidRPr="005D7620" w:rsidRDefault="006F3591" w:rsidP="006F3591">
            <w:pPr>
              <w:rPr>
                <w:strike/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1.2  การแบ่งชนิดหน่วยลงทุน </w:t>
            </w:r>
            <w:r w:rsidRPr="00D465D6">
              <w:rPr>
                <w:rFonts w:hint="cs"/>
                <w:sz w:val="28"/>
                <w:szCs w:val="28"/>
                <w:cs/>
              </w:rPr>
              <w:t>และ</w:t>
            </w:r>
            <w:r w:rsidRPr="00D465D6">
              <w:rPr>
                <w:sz w:val="28"/>
                <w:szCs w:val="28"/>
                <w:cs/>
              </w:rPr>
              <w:t>สิทธิประโยชน์ของผู้ถือหน่วยลงทุนแยกตามชนิดของหน่วย</w:t>
            </w:r>
            <w:r w:rsidRPr="005D7620">
              <w:rPr>
                <w:sz w:val="28"/>
                <w:szCs w:val="28"/>
                <w:cs/>
              </w:rPr>
              <w:t>ลงทุน</w:t>
            </w:r>
          </w:p>
          <w:p w14:paraId="40F2F508" w14:textId="55326E7C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1.3  ลักษณะที่สำคัญของกองทุน</w:t>
            </w:r>
            <w:r w:rsidR="00070869" w:rsidRPr="00D465D6">
              <w:rPr>
                <w:rFonts w:eastAsia="Calibri"/>
                <w:sz w:val="28"/>
                <w:szCs w:val="28"/>
                <w:cs/>
              </w:rPr>
              <w:t>รวม</w:t>
            </w:r>
          </w:p>
          <w:p w14:paraId="43AF10F8" w14:textId="77777777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1.4  ผลตอบแทนที่ผู้ลงทุนจะได้รับจากเงินลงทุน </w:t>
            </w:r>
          </w:p>
          <w:p w14:paraId="2E2AC480" w14:textId="77777777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1.5  จำนวนเงินทุนโครงการล่าสุด </w:t>
            </w:r>
          </w:p>
          <w:p w14:paraId="39C12423" w14:textId="77777777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1.6  รอบระยะเวลาบัญชี </w:t>
            </w:r>
          </w:p>
          <w:p w14:paraId="644BD9AE" w14:textId="64EBBEA0" w:rsidR="00DA7300" w:rsidRPr="00D465D6" w:rsidRDefault="001534F2" w:rsidP="00DA7300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1.7  ปัจจัยที่มีผลกระทบอย่างมีนัยสำคัญต่อเงินลงทุนของผู้ลงทุน </w:t>
            </w:r>
            <w:r w:rsidR="00DA7300" w:rsidRPr="00D465D6">
              <w:rPr>
                <w:sz w:val="28"/>
                <w:szCs w:val="28"/>
                <w:cs/>
              </w:rPr>
              <w:br/>
            </w:r>
            <w:r w:rsidR="00DA7300" w:rsidRPr="00D465D6">
              <w:rPr>
                <w:rFonts w:eastAsia="Calibri" w:hint="cs"/>
                <w:sz w:val="28"/>
                <w:szCs w:val="28"/>
                <w:cs/>
              </w:rPr>
              <w:t>1.8</w:t>
            </w:r>
            <w:r w:rsidR="00DA7300" w:rsidRPr="00D465D6">
              <w:rPr>
                <w:rFonts w:eastAsia="Calibri"/>
                <w:sz w:val="28"/>
                <w:szCs w:val="28"/>
                <w:cs/>
              </w:rPr>
              <w:t xml:space="preserve">  การเลื่อนกำหนดเวลาชำระค่าขายคืนหน่วยลงทุน </w:t>
            </w:r>
          </w:p>
          <w:p w14:paraId="4194310D" w14:textId="7E3091A0" w:rsidR="001534F2" w:rsidRPr="00D465D6" w:rsidRDefault="00DA7300" w:rsidP="00DA7300">
            <w:pPr>
              <w:rPr>
                <w:sz w:val="28"/>
                <w:szCs w:val="28"/>
              </w:rPr>
            </w:pPr>
            <w:r w:rsidRPr="00D465D6">
              <w:rPr>
                <w:rFonts w:eastAsia="Calibri" w:hint="cs"/>
                <w:sz w:val="28"/>
                <w:szCs w:val="28"/>
                <w:cs/>
              </w:rPr>
              <w:t>1.9</w:t>
            </w:r>
            <w:r w:rsidRPr="00D465D6">
              <w:rPr>
                <w:rFonts w:eastAsia="Calibri"/>
                <w:sz w:val="28"/>
                <w:szCs w:val="28"/>
                <w:cs/>
              </w:rPr>
              <w:t xml:space="preserve">  การไม่ขายหรือไม่รับซื้อคืนหน่วยลงทุนตามคำสั่งที่รับไว้แล้ว</w:t>
            </w:r>
          </w:p>
          <w:p w14:paraId="6D2A8D7F" w14:textId="21BB704D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1.</w:t>
            </w:r>
            <w:r w:rsidR="00DA7300" w:rsidRPr="00D465D6">
              <w:rPr>
                <w:rFonts w:hint="cs"/>
                <w:sz w:val="28"/>
                <w:szCs w:val="28"/>
                <w:cs/>
              </w:rPr>
              <w:t>10</w:t>
            </w:r>
            <w:r w:rsidRPr="00D465D6">
              <w:rPr>
                <w:sz w:val="28"/>
                <w:szCs w:val="28"/>
                <w:cs/>
              </w:rPr>
              <w:t xml:space="preserve">  ช่องทางที่ผู้ถือหน่วยลงทุนจะทราบข้อมูลเกี่ยวกับ </w:t>
            </w:r>
            <w:r w:rsidRPr="00D465D6">
              <w:rPr>
                <w:sz w:val="28"/>
                <w:szCs w:val="28"/>
              </w:rPr>
              <w:t>NAV</w:t>
            </w:r>
            <w:r w:rsidRPr="00D465D6">
              <w:rPr>
                <w:sz w:val="28"/>
                <w:szCs w:val="28"/>
                <w:cs/>
              </w:rPr>
              <w:t xml:space="preserve"> มูลค่าหน่วยลงทุน </w:t>
            </w:r>
            <w:r w:rsidR="00B97AD4" w:rsidRPr="00D465D6">
              <w:rPr>
                <w:sz w:val="28"/>
                <w:szCs w:val="28"/>
              </w:rPr>
              <w:br/>
            </w:r>
            <w:r w:rsidRPr="00D465D6">
              <w:rPr>
                <w:sz w:val="28"/>
                <w:szCs w:val="28"/>
                <w:cs/>
              </w:rPr>
              <w:t>และราคาขายและรับซื้อคืนหน่วยลงทุน</w:t>
            </w:r>
          </w:p>
          <w:p w14:paraId="569AFBF4" w14:textId="2252D0E9" w:rsidR="001534F2" w:rsidRPr="00D465D6" w:rsidRDefault="001534F2" w:rsidP="00DA7300">
            <w:r w:rsidRPr="00D465D6">
              <w:rPr>
                <w:sz w:val="28"/>
                <w:szCs w:val="28"/>
                <w:cs/>
              </w:rPr>
              <w:t>1.</w:t>
            </w:r>
            <w:r w:rsidR="00DA7300" w:rsidRPr="00D465D6">
              <w:rPr>
                <w:rFonts w:hint="cs"/>
                <w:sz w:val="28"/>
                <w:szCs w:val="28"/>
                <w:cs/>
              </w:rPr>
              <w:t>11</w:t>
            </w:r>
            <w:r w:rsidRPr="00D465D6">
              <w:rPr>
                <w:sz w:val="28"/>
                <w:szCs w:val="28"/>
                <w:cs/>
              </w:rPr>
              <w:t xml:space="preserve">  ช่องทางที่ผู้ลงทุนสามารถทราบข้อมูลเพิ่มเติมเกี่ยวกับกองทุน</w:t>
            </w:r>
            <w:r w:rsidR="00070869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นี้</w:t>
            </w:r>
          </w:p>
        </w:tc>
      </w:tr>
      <w:tr w:rsidR="001534F2" w:rsidRPr="00D465D6" w14:paraId="4E4787BD" w14:textId="77777777" w:rsidTr="003C29F1">
        <w:tc>
          <w:tcPr>
            <w:tcW w:w="3510" w:type="dxa"/>
          </w:tcPr>
          <w:p w14:paraId="059B4985" w14:textId="61D452E1" w:rsidR="001534F2" w:rsidRPr="00D465D6" w:rsidRDefault="001534F2">
            <w:r w:rsidRPr="009321C5">
              <w:rPr>
                <w:sz w:val="28"/>
                <w:szCs w:val="28"/>
                <w:cs/>
              </w:rPr>
              <w:t>2</w:t>
            </w:r>
            <w:r w:rsidRPr="009321C5">
              <w:rPr>
                <w:sz w:val="28"/>
                <w:szCs w:val="28"/>
              </w:rPr>
              <w:t>.</w:t>
            </w:r>
            <w:r w:rsidR="008B327C" w:rsidRPr="008818A5">
              <w:rPr>
                <w:rStyle w:val="FootnoteReference"/>
                <w:sz w:val="24"/>
                <w:szCs w:val="24"/>
              </w:rPr>
              <w:footnoteReference w:customMarkFollows="1" w:id="1"/>
              <w:sym w:font="Symbol" w:char="F039"/>
            </w:r>
            <w:r w:rsidRPr="009321C5">
              <w:rPr>
                <w:sz w:val="28"/>
                <w:szCs w:val="28"/>
              </w:rPr>
              <w:t xml:space="preserve">  </w:t>
            </w:r>
            <w:r w:rsidR="00A26421" w:rsidRPr="00A26421">
              <w:rPr>
                <w:sz w:val="28"/>
                <w:szCs w:val="28"/>
                <w:cs/>
              </w:rPr>
              <w:t>ปัจจัยความเสี่ยงของกองทุน</w:t>
            </w:r>
            <w:r w:rsidR="00A26421" w:rsidRPr="00A26421">
              <w:rPr>
                <w:rFonts w:eastAsia="Calibri"/>
                <w:sz w:val="28"/>
                <w:szCs w:val="28"/>
                <w:cs/>
              </w:rPr>
              <w:t>รวม</w:t>
            </w:r>
            <w:r w:rsidRPr="009321C5">
              <w:rPr>
                <w:rStyle w:val="FootnoteReference"/>
                <w:sz w:val="28"/>
                <w:szCs w:val="28"/>
                <w:cs/>
              </w:rPr>
              <w:footnoteReference w:id="2"/>
            </w:r>
          </w:p>
        </w:tc>
        <w:tc>
          <w:tcPr>
            <w:tcW w:w="5850" w:type="dxa"/>
          </w:tcPr>
          <w:p w14:paraId="24819848" w14:textId="297C79DA" w:rsidR="00756EBF" w:rsidRPr="00435026" w:rsidRDefault="00756EBF" w:rsidP="00435026">
            <w:pPr>
              <w:rPr>
                <w:sz w:val="28"/>
                <w:szCs w:val="28"/>
                <w:cs/>
              </w:rPr>
            </w:pPr>
            <w:r w:rsidRPr="00435026">
              <w:rPr>
                <w:spacing w:val="-6"/>
                <w:sz w:val="28"/>
                <w:szCs w:val="28"/>
                <w:cs/>
              </w:rPr>
              <w:t>ในการแสดงข้อมูลปัจจัยความเสี่ยง ให้ บลจ. เปิดเผยคำอธิบาย</w:t>
            </w:r>
            <w:r w:rsidRPr="00435026">
              <w:rPr>
                <w:sz w:val="28"/>
                <w:szCs w:val="28"/>
                <w:cs/>
              </w:rPr>
              <w:t>ปัจจัยความเสี่ยงให้สอดคล้องกับประเภทความเสี่ยงของกองทุนรวม ซึ่งครอบคลุมถึงโอกาส</w:t>
            </w:r>
            <w:r w:rsidR="005E03B8">
              <w:rPr>
                <w:sz w:val="28"/>
                <w:szCs w:val="28"/>
                <w:cs/>
              </w:rPr>
              <w:br/>
            </w:r>
            <w:r w:rsidRPr="00435026">
              <w:rPr>
                <w:sz w:val="28"/>
                <w:szCs w:val="28"/>
                <w:cs/>
              </w:rPr>
              <w:t>ที่จะเกิดความเสี่ยง ผลกระทบที่จะเกิดขึ้น และแนวทางการบริหารความเสี่ยงดังกล่าว โดยคำนึงถึงปัจจัยความเสี่ยงอย่างน้อยดังนี้</w:t>
            </w:r>
          </w:p>
          <w:p w14:paraId="1ABBBD21" w14:textId="275B5A31" w:rsidR="00756EBF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756EBF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1</w:t>
            </w:r>
            <w:r w:rsidR="00756EBF" w:rsidRPr="00435026">
              <w:rPr>
                <w:sz w:val="28"/>
                <w:szCs w:val="28"/>
                <w:cs/>
              </w:rPr>
              <w:t xml:space="preserve">  ปัจจัยความเสี่ยงจากการดำเนินงานของผู้ออกตราสาร (</w:t>
            </w:r>
            <w:r w:rsidR="00756EBF" w:rsidRPr="00435026">
              <w:rPr>
                <w:sz w:val="28"/>
                <w:szCs w:val="28"/>
              </w:rPr>
              <w:t>business</w:t>
            </w:r>
            <w:r w:rsidR="00756EBF" w:rsidRPr="00435026">
              <w:rPr>
                <w:sz w:val="28"/>
                <w:szCs w:val="28"/>
                <w:cs/>
              </w:rPr>
              <w:t xml:space="preserve"> </w:t>
            </w:r>
            <w:r w:rsidR="00756EBF" w:rsidRPr="00435026">
              <w:rPr>
                <w:sz w:val="28"/>
                <w:szCs w:val="28"/>
              </w:rPr>
              <w:t>risk)</w:t>
            </w:r>
          </w:p>
          <w:p w14:paraId="2F534C98" w14:textId="769FD3E7" w:rsidR="00756EBF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756EBF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2</w:t>
            </w:r>
            <w:r w:rsidR="00756EBF" w:rsidRPr="00435026">
              <w:rPr>
                <w:sz w:val="28"/>
                <w:szCs w:val="28"/>
                <w:cs/>
              </w:rPr>
              <w:t xml:space="preserve">  ปัจจัยความเสี่ยงจากความสามารถในการชำระหนี้ของผู้ออกตราสาร (</w:t>
            </w:r>
            <w:r w:rsidR="00756EBF" w:rsidRPr="00435026">
              <w:rPr>
                <w:sz w:val="28"/>
                <w:szCs w:val="28"/>
              </w:rPr>
              <w:t>credit risk)</w:t>
            </w:r>
          </w:p>
          <w:p w14:paraId="29AE2023" w14:textId="6C913768" w:rsidR="00756EBF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756EBF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3</w:t>
            </w:r>
            <w:r w:rsidR="00756EBF" w:rsidRPr="00435026">
              <w:rPr>
                <w:sz w:val="28"/>
                <w:szCs w:val="28"/>
                <w:cs/>
              </w:rPr>
              <w:t xml:space="preserve">  ปัจจัยความเสี่ยงจากความผันผวนของราคาตราสาร (</w:t>
            </w:r>
            <w:r w:rsidR="00756EBF" w:rsidRPr="00435026">
              <w:rPr>
                <w:sz w:val="28"/>
                <w:szCs w:val="28"/>
              </w:rPr>
              <w:t>market risk)</w:t>
            </w:r>
          </w:p>
          <w:p w14:paraId="1813AC0B" w14:textId="1A077F9A" w:rsidR="00756EBF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756EBF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4</w:t>
            </w:r>
            <w:r w:rsidR="00756EBF" w:rsidRPr="00435026">
              <w:rPr>
                <w:sz w:val="28"/>
                <w:szCs w:val="28"/>
                <w:cs/>
              </w:rPr>
              <w:t xml:space="preserve">  ปัจจัยความเสี่ยงจากการขาดสภาพคล่องของตราสาร</w:t>
            </w:r>
            <w:r w:rsidR="005E03B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56EBF" w:rsidRPr="00435026">
              <w:rPr>
                <w:sz w:val="28"/>
                <w:szCs w:val="28"/>
                <w:cs/>
              </w:rPr>
              <w:t>(</w:t>
            </w:r>
            <w:r w:rsidR="00756EBF" w:rsidRPr="00435026">
              <w:rPr>
                <w:sz w:val="28"/>
                <w:szCs w:val="28"/>
              </w:rPr>
              <w:t>liquidity risk)</w:t>
            </w:r>
          </w:p>
          <w:p w14:paraId="774854E5" w14:textId="2CB7034C" w:rsidR="00B10AB6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756EBF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5</w:t>
            </w:r>
            <w:r w:rsidR="00756EBF" w:rsidRPr="00435026">
              <w:rPr>
                <w:sz w:val="28"/>
                <w:szCs w:val="28"/>
                <w:cs/>
              </w:rPr>
              <w:t xml:space="preserve">  ปัจจัยความเสี่ยงจากอัตราแลกเปลี่ยนเงิน (</w:t>
            </w:r>
            <w:r w:rsidR="00756EBF" w:rsidRPr="00435026">
              <w:rPr>
                <w:sz w:val="28"/>
                <w:szCs w:val="28"/>
              </w:rPr>
              <w:t>exchange rate</w:t>
            </w:r>
            <w:r w:rsidR="00756EBF" w:rsidRPr="00435026">
              <w:rPr>
                <w:sz w:val="28"/>
                <w:szCs w:val="28"/>
                <w:cs/>
              </w:rPr>
              <w:t xml:space="preserve"> </w:t>
            </w:r>
            <w:r w:rsidR="00756EBF" w:rsidRPr="00435026">
              <w:rPr>
                <w:sz w:val="28"/>
                <w:szCs w:val="28"/>
              </w:rPr>
              <w:t>risk)</w:t>
            </w:r>
          </w:p>
          <w:p w14:paraId="785CBCB1" w14:textId="040657F9" w:rsidR="000D7568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lastRenderedPageBreak/>
              <w:t>2</w:t>
            </w:r>
            <w:r w:rsidR="000D7568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6</w:t>
            </w:r>
            <w:r w:rsidR="000D7568" w:rsidRPr="00435026">
              <w:rPr>
                <w:sz w:val="28"/>
                <w:szCs w:val="28"/>
                <w:cs/>
              </w:rPr>
              <w:t xml:space="preserve">  ปัจจัยความเสี่ยงจากการเข้าทำสัญญาซื้อขายล่วงหน้า (</w:t>
            </w:r>
            <w:r w:rsidR="000D7568" w:rsidRPr="00435026">
              <w:rPr>
                <w:sz w:val="28"/>
                <w:szCs w:val="28"/>
              </w:rPr>
              <w:t>derivatives</w:t>
            </w:r>
            <w:r w:rsidR="000D7568" w:rsidRPr="00435026">
              <w:rPr>
                <w:sz w:val="28"/>
                <w:szCs w:val="28"/>
                <w:cs/>
              </w:rPr>
              <w:t xml:space="preserve"> </w:t>
            </w:r>
            <w:r w:rsidR="000D7568" w:rsidRPr="00435026">
              <w:rPr>
                <w:sz w:val="28"/>
                <w:szCs w:val="28"/>
              </w:rPr>
              <w:t>risk)</w:t>
            </w:r>
          </w:p>
          <w:p w14:paraId="18BFC7B7" w14:textId="0269AB60" w:rsidR="000D7568" w:rsidRPr="00435026" w:rsidRDefault="00435026" w:rsidP="00435026">
            <w:pPr>
              <w:rPr>
                <w:sz w:val="28"/>
                <w:szCs w:val="28"/>
              </w:rPr>
            </w:pPr>
            <w:r w:rsidRPr="009A5D23">
              <w:rPr>
                <w:spacing w:val="-4"/>
                <w:sz w:val="28"/>
                <w:szCs w:val="28"/>
                <w:cs/>
              </w:rPr>
              <w:t>2</w:t>
            </w:r>
            <w:r w:rsidR="000D7568" w:rsidRPr="009A5D23">
              <w:rPr>
                <w:spacing w:val="-4"/>
                <w:sz w:val="28"/>
                <w:szCs w:val="28"/>
                <w:cs/>
              </w:rPr>
              <w:t>.</w:t>
            </w:r>
            <w:r w:rsidRPr="009A5D23">
              <w:rPr>
                <w:spacing w:val="-4"/>
                <w:sz w:val="28"/>
                <w:szCs w:val="28"/>
                <w:cs/>
              </w:rPr>
              <w:t>7</w:t>
            </w:r>
            <w:r w:rsidR="000D7568" w:rsidRPr="009A5D23">
              <w:rPr>
                <w:spacing w:val="-4"/>
                <w:sz w:val="28"/>
                <w:szCs w:val="28"/>
                <w:cs/>
              </w:rPr>
              <w:t xml:space="preserve">  ปัจจัยความเสี่ยงจากความคลาดเคลื่อนของการเข้าทำสัญญาซื้อขายล่วงหน้า</w:t>
            </w:r>
            <w:r w:rsidR="000D7568" w:rsidRPr="00435026">
              <w:rPr>
                <w:sz w:val="28"/>
                <w:szCs w:val="28"/>
                <w:cs/>
              </w:rPr>
              <w:t xml:space="preserve"> (</w:t>
            </w:r>
            <w:r w:rsidR="000D7568" w:rsidRPr="00435026">
              <w:rPr>
                <w:sz w:val="28"/>
                <w:szCs w:val="28"/>
              </w:rPr>
              <w:t>basis risk)</w:t>
            </w:r>
          </w:p>
          <w:p w14:paraId="105D833C" w14:textId="2AE03308" w:rsidR="000D7568" w:rsidRPr="00435026" w:rsidRDefault="00435026" w:rsidP="00435026">
            <w:pPr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0D7568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8</w:t>
            </w:r>
            <w:r w:rsidR="000D7568" w:rsidRPr="00435026">
              <w:rPr>
                <w:sz w:val="28"/>
                <w:szCs w:val="28"/>
                <w:cs/>
              </w:rPr>
              <w:t xml:space="preserve">  ปัจจัยความเสี่ยงจากการลงทุนในตราสารที่มีอันดับความน่าเชื่อถือต่ำกว่า</w:t>
            </w:r>
            <w:r w:rsidR="000D7568" w:rsidRPr="009A5D23">
              <w:rPr>
                <w:spacing w:val="-2"/>
                <w:sz w:val="28"/>
                <w:szCs w:val="28"/>
                <w:cs/>
              </w:rPr>
              <w:t>อันดับที่สามารถลงทุนได้ (</w:t>
            </w:r>
            <w:r w:rsidR="000D7568" w:rsidRPr="009A5D23">
              <w:rPr>
                <w:spacing w:val="-2"/>
                <w:sz w:val="28"/>
                <w:szCs w:val="28"/>
              </w:rPr>
              <w:t>non</w:t>
            </w:r>
            <w:r w:rsidR="000D7568" w:rsidRPr="009A5D23">
              <w:rPr>
                <w:spacing w:val="-2"/>
                <w:sz w:val="28"/>
                <w:szCs w:val="28"/>
                <w:cs/>
              </w:rPr>
              <w:t xml:space="preserve"> </w:t>
            </w:r>
            <w:r w:rsidR="000D7568" w:rsidRPr="009A5D23">
              <w:rPr>
                <w:spacing w:val="-2"/>
                <w:sz w:val="28"/>
                <w:szCs w:val="28"/>
              </w:rPr>
              <w:t>-</w:t>
            </w:r>
            <w:r w:rsidR="000D7568" w:rsidRPr="009A5D23">
              <w:rPr>
                <w:spacing w:val="-2"/>
                <w:sz w:val="28"/>
                <w:szCs w:val="28"/>
                <w:cs/>
              </w:rPr>
              <w:t xml:space="preserve"> </w:t>
            </w:r>
            <w:r w:rsidR="000D7568" w:rsidRPr="009A5D23">
              <w:rPr>
                <w:spacing w:val="-2"/>
                <w:sz w:val="28"/>
                <w:szCs w:val="28"/>
              </w:rPr>
              <w:t>investment</w:t>
            </w:r>
            <w:r w:rsidR="000D7568" w:rsidRPr="009A5D23">
              <w:rPr>
                <w:spacing w:val="-2"/>
                <w:sz w:val="28"/>
                <w:szCs w:val="28"/>
                <w:cs/>
              </w:rPr>
              <w:t xml:space="preserve"> </w:t>
            </w:r>
            <w:r w:rsidR="000D7568" w:rsidRPr="009A5D23">
              <w:rPr>
                <w:spacing w:val="-2"/>
                <w:sz w:val="28"/>
                <w:szCs w:val="28"/>
              </w:rPr>
              <w:t xml:space="preserve">grade) </w:t>
            </w:r>
            <w:r w:rsidR="000D7568" w:rsidRPr="009A5D23">
              <w:rPr>
                <w:spacing w:val="-2"/>
                <w:sz w:val="28"/>
                <w:szCs w:val="28"/>
                <w:cs/>
              </w:rPr>
              <w:t>หรือที่ไม่มีการจัดอันดับ</w:t>
            </w:r>
            <w:r w:rsidR="000D7568" w:rsidRPr="00435026">
              <w:rPr>
                <w:sz w:val="28"/>
                <w:szCs w:val="28"/>
              </w:rPr>
              <w:br/>
            </w:r>
            <w:r w:rsidR="000D7568" w:rsidRPr="00435026">
              <w:rPr>
                <w:sz w:val="28"/>
                <w:szCs w:val="28"/>
                <w:cs/>
              </w:rPr>
              <w:t>ความน่าเชื่อถือ (</w:t>
            </w:r>
            <w:r w:rsidR="000D7568" w:rsidRPr="00435026">
              <w:rPr>
                <w:sz w:val="28"/>
                <w:szCs w:val="28"/>
              </w:rPr>
              <w:t>unrated)</w:t>
            </w:r>
            <w:r w:rsidR="000D7568" w:rsidRPr="00435026">
              <w:rPr>
                <w:sz w:val="28"/>
                <w:szCs w:val="28"/>
                <w:cs/>
              </w:rPr>
              <w:t xml:space="preserve"> ไม่น้อยกว่าร้อยละ </w:t>
            </w:r>
            <w:r w:rsidRPr="00435026">
              <w:rPr>
                <w:sz w:val="28"/>
                <w:szCs w:val="28"/>
                <w:cs/>
              </w:rPr>
              <w:t>60</w:t>
            </w:r>
          </w:p>
          <w:p w14:paraId="6E8060C6" w14:textId="62822D67" w:rsidR="000D7568" w:rsidRPr="00435026" w:rsidRDefault="00435026" w:rsidP="00435026">
            <w:pPr>
              <w:tabs>
                <w:tab w:val="left" w:pos="517"/>
              </w:tabs>
              <w:rPr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2</w:t>
            </w:r>
            <w:r w:rsidR="000D7568" w:rsidRPr="00435026">
              <w:rPr>
                <w:sz w:val="28"/>
                <w:szCs w:val="28"/>
                <w:cs/>
              </w:rPr>
              <w:t>.</w:t>
            </w:r>
            <w:r w:rsidRPr="00435026">
              <w:rPr>
                <w:sz w:val="28"/>
                <w:szCs w:val="28"/>
                <w:cs/>
              </w:rPr>
              <w:t>9</w:t>
            </w:r>
            <w:r w:rsidR="000D7568" w:rsidRPr="00435026">
              <w:rPr>
                <w:sz w:val="28"/>
                <w:szCs w:val="28"/>
                <w:cs/>
              </w:rPr>
              <w:t xml:space="preserve">  ในกรณีที่กองทุนรวมมีการแบ่งชนิดหน่วยลงทุนตามกรณีนโยบายป้องกัน</w:t>
            </w:r>
            <w:r w:rsidR="000D7568" w:rsidRPr="009A5D23">
              <w:rPr>
                <w:spacing w:val="-7"/>
                <w:sz w:val="28"/>
                <w:szCs w:val="28"/>
                <w:cs/>
              </w:rPr>
              <w:t>ความเสี่ยงจากอัตราแลกเปลี่ยนเงินตราต่างประเทศ ให้ระบุข้อมูลดังนี้ เพิ่มเติมด้วย</w:t>
            </w:r>
          </w:p>
          <w:p w14:paraId="4E0D6CD0" w14:textId="76127360" w:rsidR="000D7568" w:rsidRPr="00435026" w:rsidRDefault="00435026" w:rsidP="009A5D23">
            <w:pPr>
              <w:ind w:firstLine="431"/>
              <w:rPr>
                <w:sz w:val="28"/>
                <w:szCs w:val="28"/>
              </w:rPr>
            </w:pPr>
            <w:r w:rsidRPr="009A5D23">
              <w:rPr>
                <w:sz w:val="28"/>
                <w:szCs w:val="28"/>
                <w:cs/>
              </w:rPr>
              <w:t>2</w:t>
            </w:r>
            <w:r w:rsidR="000D7568" w:rsidRPr="009A5D23">
              <w:rPr>
                <w:sz w:val="28"/>
                <w:szCs w:val="28"/>
                <w:cs/>
              </w:rPr>
              <w:t>.</w:t>
            </w:r>
            <w:r w:rsidRPr="009A5D23">
              <w:rPr>
                <w:sz w:val="28"/>
                <w:szCs w:val="28"/>
                <w:cs/>
              </w:rPr>
              <w:t>9</w:t>
            </w:r>
            <w:r w:rsidR="000D7568" w:rsidRPr="009A5D23">
              <w:rPr>
                <w:sz w:val="28"/>
                <w:szCs w:val="28"/>
                <w:cs/>
              </w:rPr>
              <w:t>.</w:t>
            </w:r>
            <w:r w:rsidRPr="009A5D23">
              <w:rPr>
                <w:sz w:val="28"/>
                <w:szCs w:val="28"/>
                <w:cs/>
              </w:rPr>
              <w:t>1</w:t>
            </w:r>
            <w:r w:rsidR="000D7568" w:rsidRPr="009A5D23">
              <w:rPr>
                <w:sz w:val="28"/>
                <w:szCs w:val="28"/>
                <w:cs/>
              </w:rPr>
              <w:t xml:space="preserve">  รูปแบบการป้องกันความเสี่ยงจากอัตราแลกเปลี่ยนเงินตราต่างประเทศ</w:t>
            </w:r>
            <w:r w:rsidR="000D7568" w:rsidRPr="00435026">
              <w:rPr>
                <w:sz w:val="28"/>
                <w:szCs w:val="28"/>
                <w:cs/>
              </w:rPr>
              <w:t xml:space="preserve"> อย่างใดอย่างหนึ่ง ดังนี้</w:t>
            </w:r>
          </w:p>
          <w:p w14:paraId="74143C27" w14:textId="3CE126EE" w:rsidR="000D7568" w:rsidRPr="00435026" w:rsidRDefault="000D7568" w:rsidP="0012416C">
            <w:pPr>
              <w:ind w:firstLine="971"/>
              <w:rPr>
                <w:sz w:val="28"/>
                <w:szCs w:val="28"/>
              </w:rPr>
            </w:pPr>
            <w:r w:rsidRPr="00435026">
              <w:rPr>
                <w:spacing w:val="-2"/>
                <w:sz w:val="28"/>
                <w:szCs w:val="28"/>
                <w:cs/>
              </w:rPr>
              <w:t>(</w:t>
            </w:r>
            <w:r w:rsidR="00435026" w:rsidRPr="00435026">
              <w:rPr>
                <w:spacing w:val="-2"/>
                <w:sz w:val="28"/>
                <w:szCs w:val="28"/>
                <w:cs/>
              </w:rPr>
              <w:t>1</w:t>
            </w:r>
            <w:r w:rsidRPr="00435026">
              <w:rPr>
                <w:spacing w:val="-2"/>
                <w:sz w:val="28"/>
                <w:szCs w:val="28"/>
                <w:cs/>
              </w:rPr>
              <w:t>)  การป้องกันความเสี่ยงอันอาจเกิดขึ้นทั้งหมด</w:t>
            </w:r>
            <w:r w:rsidRPr="00435026">
              <w:rPr>
                <w:sz w:val="28"/>
                <w:szCs w:val="28"/>
                <w:cs/>
              </w:rPr>
              <w:t xml:space="preserve"> (</w:t>
            </w:r>
            <w:r w:rsidRPr="00435026">
              <w:rPr>
                <w:sz w:val="28"/>
                <w:szCs w:val="28"/>
              </w:rPr>
              <w:t xml:space="preserve">fully hedged) </w:t>
            </w:r>
            <w:r w:rsidRPr="00435026">
              <w:rPr>
                <w:sz w:val="28"/>
                <w:szCs w:val="28"/>
                <w:cs/>
              </w:rPr>
              <w:t xml:space="preserve">ซึ่งมีการกำหนดอัตราส่วนการป้องกันความเสี่ยงระหว่างร้อยละ </w:t>
            </w:r>
            <w:r w:rsidR="00435026" w:rsidRPr="00435026">
              <w:rPr>
                <w:sz w:val="28"/>
                <w:szCs w:val="28"/>
                <w:cs/>
              </w:rPr>
              <w:t>95</w:t>
            </w:r>
            <w:r w:rsidRPr="00435026">
              <w:rPr>
                <w:sz w:val="28"/>
                <w:szCs w:val="28"/>
                <w:cs/>
              </w:rPr>
              <w:t xml:space="preserve"> ถึงร้อยละ </w:t>
            </w:r>
            <w:r w:rsidR="00435026" w:rsidRPr="00435026">
              <w:rPr>
                <w:sz w:val="28"/>
                <w:szCs w:val="28"/>
                <w:cs/>
              </w:rPr>
              <w:t>105</w:t>
            </w:r>
            <w:r w:rsidRPr="00435026">
              <w:rPr>
                <w:sz w:val="28"/>
                <w:szCs w:val="28"/>
                <w:cs/>
              </w:rPr>
              <w:t xml:space="preserve"> ของมูลค่าความเสี่ยงที่มีอยู่</w:t>
            </w:r>
          </w:p>
          <w:p w14:paraId="4754A724" w14:textId="249F5872" w:rsidR="000D7568" w:rsidRPr="00435026" w:rsidRDefault="000D7568" w:rsidP="0012416C">
            <w:pPr>
              <w:ind w:firstLine="971"/>
              <w:rPr>
                <w:sz w:val="28"/>
                <w:szCs w:val="28"/>
              </w:rPr>
            </w:pPr>
            <w:r w:rsidRPr="0012416C">
              <w:rPr>
                <w:sz w:val="28"/>
                <w:szCs w:val="28"/>
                <w:cs/>
              </w:rPr>
              <w:t>(</w:t>
            </w:r>
            <w:r w:rsidR="00435026" w:rsidRPr="0012416C">
              <w:rPr>
                <w:sz w:val="28"/>
                <w:szCs w:val="28"/>
                <w:cs/>
              </w:rPr>
              <w:t>2</w:t>
            </w:r>
            <w:r w:rsidRPr="0012416C">
              <w:rPr>
                <w:sz w:val="28"/>
                <w:szCs w:val="28"/>
                <w:cs/>
              </w:rPr>
              <w:t>)  การป้องกันความเสี่ยงอันอาจเกิดขึ้นบางส่วน (</w:t>
            </w:r>
            <w:r w:rsidRPr="0012416C">
              <w:rPr>
                <w:sz w:val="28"/>
                <w:szCs w:val="28"/>
              </w:rPr>
              <w:t>partially hedged)</w:t>
            </w:r>
            <w:r w:rsidRPr="00435026">
              <w:rPr>
                <w:sz w:val="28"/>
                <w:szCs w:val="28"/>
              </w:rPr>
              <w:t xml:space="preserve"> </w:t>
            </w:r>
            <w:r w:rsidRPr="00435026">
              <w:rPr>
                <w:sz w:val="28"/>
                <w:szCs w:val="28"/>
                <w:cs/>
              </w:rPr>
              <w:t>ซึ่งมี</w:t>
            </w:r>
            <w:r w:rsidRPr="00435026">
              <w:rPr>
                <w:rFonts w:hint="cs"/>
                <w:sz w:val="28"/>
                <w:szCs w:val="28"/>
                <w:cs/>
              </w:rPr>
              <w:t>การกำหนด</w:t>
            </w:r>
            <w:r w:rsidRPr="00435026">
              <w:rPr>
                <w:sz w:val="28"/>
                <w:szCs w:val="28"/>
                <w:cs/>
              </w:rPr>
              <w:t xml:space="preserve">อัตราส่วนการป้องกันความเสี่ยงไม่เกินร้อยละ </w:t>
            </w:r>
            <w:r w:rsidR="00435026" w:rsidRPr="00435026">
              <w:rPr>
                <w:sz w:val="28"/>
                <w:szCs w:val="28"/>
                <w:cs/>
              </w:rPr>
              <w:t>9</w:t>
            </w:r>
            <w:r w:rsidR="00435026" w:rsidRPr="00435026">
              <w:rPr>
                <w:rFonts w:hint="cs"/>
                <w:sz w:val="28"/>
                <w:szCs w:val="28"/>
                <w:cs/>
              </w:rPr>
              <w:t>5</w:t>
            </w:r>
            <w:r w:rsidRPr="00435026">
              <w:rPr>
                <w:sz w:val="28"/>
                <w:szCs w:val="28"/>
                <w:cs/>
              </w:rPr>
              <w:t xml:space="preserve"> ของมูลค่าความเสี่ยงที่มีอยู่</w:t>
            </w:r>
          </w:p>
          <w:p w14:paraId="159CFD67" w14:textId="4F0A4270" w:rsidR="000D7568" w:rsidRPr="00435026" w:rsidRDefault="000D7568" w:rsidP="0012416C">
            <w:pPr>
              <w:ind w:firstLine="971"/>
              <w:rPr>
                <w:spacing w:val="-6"/>
                <w:sz w:val="28"/>
                <w:szCs w:val="28"/>
              </w:rPr>
            </w:pPr>
            <w:r w:rsidRPr="00435026">
              <w:rPr>
                <w:sz w:val="28"/>
                <w:szCs w:val="28"/>
                <w:cs/>
              </w:rPr>
              <w:t>(</w:t>
            </w:r>
            <w:r w:rsidR="00435026" w:rsidRPr="00435026">
              <w:rPr>
                <w:sz w:val="28"/>
                <w:szCs w:val="28"/>
                <w:cs/>
              </w:rPr>
              <w:t>3</w:t>
            </w:r>
            <w:r w:rsidRPr="00435026">
              <w:rPr>
                <w:sz w:val="28"/>
                <w:szCs w:val="28"/>
                <w:cs/>
              </w:rPr>
              <w:t>)  การป้องกันความเสี่ยงตามดุลยพินิจของ</w:t>
            </w:r>
            <w:r w:rsidRPr="00435026">
              <w:rPr>
                <w:spacing w:val="-2"/>
                <w:sz w:val="28"/>
                <w:szCs w:val="28"/>
                <w:cs/>
              </w:rPr>
              <w:t xml:space="preserve">ผู้จัดการกองทุน </w:t>
            </w:r>
            <w:r w:rsidRPr="0012416C">
              <w:rPr>
                <w:spacing w:val="-6"/>
                <w:sz w:val="28"/>
                <w:szCs w:val="28"/>
                <w:cs/>
              </w:rPr>
              <w:t>(</w:t>
            </w:r>
            <w:r w:rsidRPr="0012416C">
              <w:rPr>
                <w:spacing w:val="-6"/>
                <w:sz w:val="28"/>
                <w:szCs w:val="28"/>
              </w:rPr>
              <w:t xml:space="preserve">dynamic hedging) </w:t>
            </w:r>
            <w:r w:rsidRPr="0012416C">
              <w:rPr>
                <w:spacing w:val="-6"/>
                <w:sz w:val="28"/>
                <w:szCs w:val="28"/>
                <w:cs/>
              </w:rPr>
              <w:t>ซึ่งสามารถมีอัตราส่วนการป้องกันความเสี่ยงได้ตามดุลยพินิจ</w:t>
            </w:r>
            <w:r w:rsidRPr="00435026">
              <w:rPr>
                <w:sz w:val="28"/>
                <w:szCs w:val="28"/>
                <w:cs/>
              </w:rPr>
              <w:t xml:space="preserve">ของผู้จัดการกองทุน แต่ไม่เกินร้อยละ </w:t>
            </w:r>
            <w:r w:rsidR="00435026" w:rsidRPr="00435026">
              <w:rPr>
                <w:sz w:val="28"/>
                <w:szCs w:val="28"/>
                <w:cs/>
              </w:rPr>
              <w:t>105</w:t>
            </w:r>
            <w:r w:rsidRPr="00435026">
              <w:rPr>
                <w:sz w:val="28"/>
                <w:szCs w:val="28"/>
                <w:cs/>
              </w:rPr>
              <w:t xml:space="preserve"> ของมูลค่าความเสี่ยงที่มีอยู่ </w:t>
            </w:r>
            <w:r w:rsidR="0012416C">
              <w:rPr>
                <w:spacing w:val="-6"/>
                <w:sz w:val="28"/>
                <w:szCs w:val="28"/>
                <w:cs/>
              </w:rPr>
              <w:br/>
            </w:r>
            <w:r w:rsidRPr="00435026">
              <w:rPr>
                <w:spacing w:val="-6"/>
                <w:sz w:val="28"/>
                <w:szCs w:val="28"/>
                <w:cs/>
              </w:rPr>
              <w:t xml:space="preserve">โดยให้แสดงปัจจัยที่ใช้ในการพิจารณาเข้าทำ </w:t>
            </w:r>
            <w:r w:rsidRPr="00435026">
              <w:rPr>
                <w:spacing w:val="-6"/>
                <w:sz w:val="28"/>
                <w:szCs w:val="28"/>
              </w:rPr>
              <w:t xml:space="preserve">derivative </w:t>
            </w:r>
            <w:r w:rsidRPr="00435026">
              <w:rPr>
                <w:spacing w:val="-6"/>
                <w:sz w:val="28"/>
                <w:szCs w:val="28"/>
                <w:cs/>
              </w:rPr>
              <w:t>ด้วย</w:t>
            </w:r>
          </w:p>
          <w:p w14:paraId="743940E2" w14:textId="1010DB0B" w:rsidR="00756EBF" w:rsidRPr="00FC1C63" w:rsidRDefault="00435026" w:rsidP="00FC1C63">
            <w:pPr>
              <w:ind w:firstLine="429"/>
              <w:rPr>
                <w:spacing w:val="-7"/>
                <w:sz w:val="28"/>
                <w:szCs w:val="28"/>
              </w:rPr>
            </w:pPr>
            <w:r w:rsidRPr="00FC1C63">
              <w:rPr>
                <w:spacing w:val="-7"/>
                <w:sz w:val="28"/>
                <w:szCs w:val="28"/>
                <w:cs/>
              </w:rPr>
              <w:t>2</w:t>
            </w:r>
            <w:r w:rsidR="000D7568" w:rsidRPr="00FC1C63">
              <w:rPr>
                <w:spacing w:val="-7"/>
                <w:sz w:val="28"/>
                <w:szCs w:val="28"/>
                <w:cs/>
              </w:rPr>
              <w:t>.</w:t>
            </w:r>
            <w:r w:rsidRPr="00FC1C63">
              <w:rPr>
                <w:spacing w:val="-7"/>
                <w:sz w:val="28"/>
                <w:szCs w:val="28"/>
                <w:cs/>
              </w:rPr>
              <w:t>9</w:t>
            </w:r>
            <w:r w:rsidR="000D7568" w:rsidRPr="00FC1C63">
              <w:rPr>
                <w:spacing w:val="-7"/>
                <w:sz w:val="28"/>
                <w:szCs w:val="28"/>
                <w:cs/>
              </w:rPr>
              <w:t>.</w:t>
            </w:r>
            <w:r w:rsidRPr="00FC1C63">
              <w:rPr>
                <w:spacing w:val="-7"/>
                <w:sz w:val="28"/>
                <w:szCs w:val="28"/>
                <w:cs/>
              </w:rPr>
              <w:t>2</w:t>
            </w:r>
            <w:r w:rsidR="000D7568" w:rsidRPr="00FC1C63">
              <w:rPr>
                <w:spacing w:val="-7"/>
                <w:sz w:val="28"/>
                <w:szCs w:val="28"/>
                <w:cs/>
              </w:rPr>
              <w:t xml:space="preserve">  ปัจจัยความเสี่ยงจากผลกระทบข้ามชนิดหน่วยลงทุน (</w:t>
            </w:r>
            <w:r w:rsidR="000D7568" w:rsidRPr="00FC1C63">
              <w:rPr>
                <w:spacing w:val="-7"/>
                <w:sz w:val="28"/>
                <w:szCs w:val="28"/>
              </w:rPr>
              <w:t>contagion risk)</w:t>
            </w:r>
          </w:p>
          <w:p w14:paraId="31601662" w14:textId="6CD14169" w:rsidR="000D7568" w:rsidRPr="00435026" w:rsidRDefault="00435026" w:rsidP="00FC1C63">
            <w:pPr>
              <w:ind w:firstLine="429"/>
              <w:rPr>
                <w:sz w:val="28"/>
                <w:szCs w:val="28"/>
              </w:rPr>
            </w:pPr>
            <w:r w:rsidRPr="00FC1C63">
              <w:rPr>
                <w:sz w:val="28"/>
                <w:szCs w:val="28"/>
                <w:cs/>
              </w:rPr>
              <w:t>2.9.3  วิธีการป้องกัน ติดตาม ควบคุม และดูแล ความเสี่ยงจากอัตราแลกเปลี่ยน</w:t>
            </w:r>
            <w:r w:rsidRPr="00435026">
              <w:rPr>
                <w:sz w:val="28"/>
                <w:szCs w:val="28"/>
                <w:cs/>
              </w:rPr>
              <w:t>เงินตราต่างประเทศ ให้เป็นไปตามอัตราส่วนการป้องกันความเสี่ยง</w:t>
            </w:r>
          </w:p>
        </w:tc>
      </w:tr>
      <w:tr w:rsidR="001534F2" w:rsidRPr="00D465D6" w14:paraId="3AB7699E" w14:textId="77777777" w:rsidTr="003C29F1">
        <w:tc>
          <w:tcPr>
            <w:tcW w:w="3510" w:type="dxa"/>
          </w:tcPr>
          <w:p w14:paraId="292F4B35" w14:textId="4E0CC87E" w:rsidR="001534F2" w:rsidRPr="00D465D6" w:rsidRDefault="001534F2">
            <w:r w:rsidRPr="00D465D6">
              <w:rPr>
                <w:sz w:val="28"/>
                <w:szCs w:val="28"/>
                <w:cs/>
              </w:rPr>
              <w:lastRenderedPageBreak/>
              <w:t>3</w:t>
            </w:r>
            <w:r w:rsidRPr="00D465D6">
              <w:rPr>
                <w:sz w:val="28"/>
                <w:szCs w:val="28"/>
              </w:rPr>
              <w:t xml:space="preserve">.  </w:t>
            </w:r>
            <w:r w:rsidRPr="00D465D6">
              <w:rPr>
                <w:sz w:val="28"/>
                <w:szCs w:val="28"/>
                <w:cs/>
              </w:rPr>
              <w:t>เครื่องมือบริหารความเสี่ยงด้านสภาพคล่องของกองทุน</w:t>
            </w:r>
            <w:r w:rsidR="00070869" w:rsidRPr="00D465D6">
              <w:rPr>
                <w:rFonts w:eastAsia="Calibri"/>
                <w:sz w:val="28"/>
                <w:szCs w:val="28"/>
                <w:cs/>
              </w:rPr>
              <w:t>รวม</w:t>
            </w:r>
          </w:p>
        </w:tc>
        <w:tc>
          <w:tcPr>
            <w:tcW w:w="5850" w:type="dxa"/>
          </w:tcPr>
          <w:p w14:paraId="4AC0EAF6" w14:textId="7722221E" w:rsidR="000C507F" w:rsidRPr="00D465D6" w:rsidRDefault="00C66DC5" w:rsidP="000C507F">
            <w:pPr>
              <w:rPr>
                <w:sz w:val="28"/>
                <w:szCs w:val="28"/>
              </w:rPr>
            </w:pPr>
            <w:r w:rsidRPr="00AF04C3">
              <w:rPr>
                <w:sz w:val="28"/>
                <w:szCs w:val="28"/>
                <w:cs/>
              </w:rPr>
              <w:t>กรณีเป็นกองทุนรวมที่มีเครื่องมือบริหารความเสี่ยงด้านสภาพคล่องของ</w:t>
            </w:r>
            <w:r w:rsidR="009D21A3" w:rsidRPr="00AF04C3">
              <w:rPr>
                <w:sz w:val="28"/>
                <w:szCs w:val="28"/>
                <w:cs/>
              </w:rPr>
              <w:t>กองทุน</w:t>
            </w:r>
            <w:r w:rsidR="009D21A3" w:rsidRPr="00AF04C3">
              <w:rPr>
                <w:rFonts w:eastAsia="Calibri"/>
                <w:sz w:val="28"/>
                <w:szCs w:val="28"/>
                <w:cs/>
              </w:rPr>
              <w:t>รวม</w:t>
            </w:r>
            <w:r w:rsidR="009D21A3" w:rsidRPr="00D465D6">
              <w:rPr>
                <w:sz w:val="28"/>
                <w:szCs w:val="28"/>
                <w:cs/>
              </w:rPr>
              <w:t xml:space="preserve"> ให้มีรายละเอียดเกี่ยวกับเครื่องมือดังกล่าว</w:t>
            </w:r>
            <w:r w:rsidR="003C7C55" w:rsidRPr="00D465D6">
              <w:rPr>
                <w:sz w:val="28"/>
                <w:szCs w:val="28"/>
              </w:rPr>
              <w:t xml:space="preserve"> </w:t>
            </w:r>
            <w:r w:rsidR="00AC0A48" w:rsidRPr="00D465D6">
              <w:rPr>
                <w:sz w:val="28"/>
                <w:szCs w:val="28"/>
                <w:cs/>
              </w:rPr>
              <w:t>ดังนี้</w:t>
            </w:r>
            <w:r w:rsidR="00DF5F50" w:rsidRPr="00D465D6">
              <w:rPr>
                <w:sz w:val="28"/>
                <w:szCs w:val="28"/>
                <w:cs/>
              </w:rPr>
              <w:br/>
            </w:r>
            <w:r w:rsidR="001534F2" w:rsidRPr="00D465D6">
              <w:rPr>
                <w:sz w:val="28"/>
                <w:szCs w:val="28"/>
                <w:cs/>
              </w:rPr>
              <w:t>3.</w:t>
            </w:r>
            <w:r w:rsidR="000C507F" w:rsidRPr="00D465D6">
              <w:rPr>
                <w:sz w:val="28"/>
                <w:szCs w:val="28"/>
                <w:cs/>
              </w:rPr>
              <w:t xml:space="preserve">1  การกำหนดให้ผู้ลงทุนเป็นผู้รับภาระค่าใช้จ่าย โดยวิธีการอย่างหนึ่งอย่างใดหรือหลายอย่างดังนี้ </w:t>
            </w:r>
          </w:p>
          <w:p w14:paraId="11F25325" w14:textId="186C3335" w:rsidR="000C507F" w:rsidRPr="00D465D6" w:rsidRDefault="006D64E1" w:rsidP="00592E92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3.1.1  </w:t>
            </w:r>
            <w:r w:rsidR="000C507F" w:rsidRPr="00D465D6">
              <w:rPr>
                <w:sz w:val="28"/>
                <w:szCs w:val="28"/>
                <w:cs/>
              </w:rPr>
              <w:t>การกำหนดค่าธรรมเนียมการขายคืนที่ไม่เป็นไปตามปริมาณหรือระยะเวลาที่กำหนด (</w:t>
            </w:r>
            <w:r w:rsidR="000C507F" w:rsidRPr="00D465D6">
              <w:rPr>
                <w:sz w:val="28"/>
                <w:szCs w:val="28"/>
              </w:rPr>
              <w:t>liquidity fee)</w:t>
            </w:r>
          </w:p>
          <w:p w14:paraId="11A2D924" w14:textId="1863F832" w:rsidR="000C507F" w:rsidRPr="00D465D6" w:rsidRDefault="006D64E1" w:rsidP="00592E92">
            <w:pPr>
              <w:ind w:firstLine="431"/>
              <w:rPr>
                <w:sz w:val="28"/>
                <w:szCs w:val="28"/>
              </w:rPr>
            </w:pPr>
            <w:r w:rsidRPr="00592E92">
              <w:rPr>
                <w:spacing w:val="-4"/>
                <w:sz w:val="28"/>
                <w:szCs w:val="28"/>
                <w:cs/>
              </w:rPr>
              <w:t xml:space="preserve">3.1.2  </w:t>
            </w:r>
            <w:r w:rsidR="000C507F" w:rsidRPr="00592E92">
              <w:rPr>
                <w:spacing w:val="-4"/>
                <w:sz w:val="28"/>
                <w:szCs w:val="28"/>
                <w:cs/>
              </w:rPr>
              <w:t>การปรับมูลค่าทรัพย์สินสุทธิด้วยสูตรการคำนวณที่สะท้อนต้นทุนใน</w:t>
            </w:r>
            <w:r w:rsidR="00C232E3" w:rsidRPr="00D465D6">
              <w:rPr>
                <w:sz w:val="28"/>
                <w:szCs w:val="28"/>
              </w:rPr>
              <w:br/>
            </w:r>
            <w:r w:rsidR="000C507F" w:rsidRPr="00D465D6">
              <w:rPr>
                <w:sz w:val="28"/>
                <w:szCs w:val="28"/>
                <w:cs/>
              </w:rPr>
              <w:t>การซื้อขายทรัพย์สินของกองทุนรวม (</w:t>
            </w:r>
            <w:r w:rsidR="000C507F" w:rsidRPr="00D465D6">
              <w:rPr>
                <w:sz w:val="28"/>
                <w:szCs w:val="28"/>
              </w:rPr>
              <w:t>swing pricing)</w:t>
            </w:r>
          </w:p>
          <w:p w14:paraId="2F70F69F" w14:textId="3713C90D" w:rsidR="000C507F" w:rsidRPr="00D465D6" w:rsidRDefault="006D64E1" w:rsidP="00592E92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3.1.3  </w:t>
            </w:r>
            <w:r w:rsidR="000C507F" w:rsidRPr="00D465D6">
              <w:rPr>
                <w:sz w:val="28"/>
                <w:szCs w:val="28"/>
                <w:cs/>
              </w:rPr>
              <w:t>การเพิ่มค่าธรรมเนียมการซื้อขายหน่วยลงทุนที่สะท้อนต้นทุนใน</w:t>
            </w:r>
            <w:r w:rsidR="00C232E3" w:rsidRPr="00D465D6">
              <w:rPr>
                <w:sz w:val="28"/>
                <w:szCs w:val="28"/>
              </w:rPr>
              <w:br/>
            </w:r>
            <w:r w:rsidR="000C507F" w:rsidRPr="00D465D6">
              <w:rPr>
                <w:sz w:val="28"/>
                <w:szCs w:val="28"/>
                <w:cs/>
              </w:rPr>
              <w:t>การซื้อขายทรัพย์สินของกองทุนรวม (</w:t>
            </w:r>
            <w:r w:rsidR="000C507F" w:rsidRPr="00D465D6">
              <w:rPr>
                <w:sz w:val="28"/>
                <w:szCs w:val="28"/>
              </w:rPr>
              <w:t>anti-dilution levies – ADLs)</w:t>
            </w:r>
          </w:p>
          <w:p w14:paraId="171AF424" w14:textId="7383DCEB" w:rsidR="000C507F" w:rsidRPr="00D465D6" w:rsidRDefault="000C507F" w:rsidP="000C507F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lastRenderedPageBreak/>
              <w:t xml:space="preserve">3.2  การกำหนดเงื่อนไขหรือข้อจำกัดในการรับคำสั่งขายคืนหน่วยลงทุน </w:t>
            </w:r>
            <w:r w:rsidR="00AF04C3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โดยวิธีการอย่างหนึ่งอย่างใดหรือหลายอย่างดังนี้</w:t>
            </w:r>
          </w:p>
          <w:p w14:paraId="35E02D47" w14:textId="7C174822" w:rsidR="000C507F" w:rsidRPr="00D465D6" w:rsidRDefault="006D64E1" w:rsidP="00592E92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3.2.1  </w:t>
            </w:r>
            <w:r w:rsidR="000C507F" w:rsidRPr="00D465D6">
              <w:rPr>
                <w:sz w:val="28"/>
                <w:szCs w:val="28"/>
                <w:cs/>
              </w:rPr>
              <w:t>การกำหนดระยะเวลาที่ต้องแจ้งล่วงหน้าก่อนการขายคืน</w:t>
            </w:r>
            <w:r w:rsidRPr="00D465D6">
              <w:rPr>
                <w:sz w:val="28"/>
                <w:szCs w:val="28"/>
                <w:cs/>
              </w:rPr>
              <w:br/>
            </w:r>
            <w:r w:rsidR="000C507F" w:rsidRPr="00D465D6">
              <w:rPr>
                <w:sz w:val="28"/>
                <w:szCs w:val="28"/>
                <w:cs/>
              </w:rPr>
              <w:t>หน่วยลงทุน (</w:t>
            </w:r>
            <w:r w:rsidR="000C507F" w:rsidRPr="00D465D6">
              <w:rPr>
                <w:sz w:val="28"/>
                <w:szCs w:val="28"/>
              </w:rPr>
              <w:t>notice period)</w:t>
            </w:r>
          </w:p>
          <w:p w14:paraId="7435C925" w14:textId="4F3AA2AD" w:rsidR="000C507F" w:rsidRPr="00D465D6" w:rsidRDefault="006D64E1" w:rsidP="00592E92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3.2.2  </w:t>
            </w:r>
            <w:r w:rsidR="000C507F" w:rsidRPr="00D465D6">
              <w:rPr>
                <w:sz w:val="28"/>
                <w:szCs w:val="28"/>
                <w:cs/>
              </w:rPr>
              <w:t>การกำหนดเพดานการขายคืนหน่วยลงทุน (</w:t>
            </w:r>
            <w:r w:rsidR="000C507F" w:rsidRPr="00D465D6">
              <w:rPr>
                <w:sz w:val="28"/>
                <w:szCs w:val="28"/>
              </w:rPr>
              <w:t>redemption gate)</w:t>
            </w:r>
          </w:p>
          <w:p w14:paraId="3ED5E05E" w14:textId="23DD33A9" w:rsidR="000C507F" w:rsidRPr="00D465D6" w:rsidRDefault="000C507F" w:rsidP="000C507F">
            <w:pPr>
              <w:rPr>
                <w:sz w:val="28"/>
                <w:szCs w:val="28"/>
              </w:rPr>
            </w:pPr>
            <w:r w:rsidRPr="00592E92">
              <w:rPr>
                <w:spacing w:val="-2"/>
                <w:sz w:val="28"/>
                <w:szCs w:val="28"/>
                <w:cs/>
              </w:rPr>
              <w:t>3.3  การกำหนดวิธีการคำนวณมูลค่าหน่วยลงทุนในกรณีทรัพย์สินที่กองทุนรวม</w:t>
            </w:r>
            <w:r w:rsidR="00DF5F50" w:rsidRPr="00D465D6">
              <w:rPr>
                <w:sz w:val="28"/>
                <w:szCs w:val="28"/>
                <w:cs/>
              </w:rPr>
              <w:br/>
            </w:r>
            <w:r w:rsidRPr="00592E92">
              <w:rPr>
                <w:spacing w:val="-2"/>
                <w:sz w:val="28"/>
                <w:szCs w:val="28"/>
                <w:cs/>
              </w:rPr>
              <w:t>มีการลงทุนโดยมีนัยสำคัญต่อมูลค่าทรัพย์สินของกองทุนรวมประสบปัญหาขาด</w:t>
            </w:r>
            <w:r w:rsidR="00DF5F50" w:rsidRPr="00D465D6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สภาพคล่อง หรือไม่สามารถจำหน่ายได้ด้วยราคาที่สมเหตุสมผล เมื่อได้รับ</w:t>
            </w:r>
            <w:r w:rsidR="009803D7" w:rsidRPr="00D465D6">
              <w:rPr>
                <w:sz w:val="28"/>
                <w:szCs w:val="28"/>
              </w:rPr>
              <w:br/>
            </w:r>
            <w:r w:rsidRPr="00D465D6">
              <w:rPr>
                <w:sz w:val="28"/>
                <w:szCs w:val="28"/>
                <w:cs/>
              </w:rPr>
              <w:t xml:space="preserve">ความเห็นชอบจากผู้ดูแลผลประโยชน์ </w:t>
            </w:r>
            <w:r w:rsidR="009803D7" w:rsidRPr="00D465D6">
              <w:rPr>
                <w:rFonts w:hint="cs"/>
                <w:sz w:val="28"/>
                <w:szCs w:val="28"/>
                <w:cs/>
              </w:rPr>
              <w:t xml:space="preserve">บลจ. </w:t>
            </w:r>
            <w:r w:rsidRPr="00D465D6">
              <w:rPr>
                <w:sz w:val="28"/>
                <w:szCs w:val="28"/>
                <w:cs/>
              </w:rPr>
              <w:t>สามารถใช้วิธีการคำนวณมูลค่า</w:t>
            </w:r>
            <w:r w:rsidR="009803D7" w:rsidRPr="00D465D6">
              <w:rPr>
                <w:sz w:val="28"/>
                <w:szCs w:val="28"/>
                <w:cs/>
              </w:rPr>
              <w:br/>
            </w:r>
            <w:r w:rsidRPr="00E064AA">
              <w:rPr>
                <w:sz w:val="28"/>
                <w:szCs w:val="28"/>
                <w:cs/>
              </w:rPr>
              <w:t>หน่วยลงทุนโดยบันทึกมูลค่าทรัพย์สินดังกล่าวเป็น 0 และให้ผู้ถือหน่วยลงทุน</w:t>
            </w:r>
            <w:r w:rsidR="00E064AA">
              <w:rPr>
                <w:sz w:val="28"/>
                <w:szCs w:val="28"/>
                <w:cs/>
              </w:rPr>
              <w:br/>
            </w:r>
            <w:r w:rsidRPr="00E064AA">
              <w:rPr>
                <w:sz w:val="28"/>
                <w:szCs w:val="28"/>
                <w:cs/>
              </w:rPr>
              <w:t>ที่มีชื่อ</w:t>
            </w:r>
            <w:r w:rsidRPr="00D465D6">
              <w:rPr>
                <w:sz w:val="28"/>
                <w:szCs w:val="28"/>
                <w:cs/>
              </w:rPr>
              <w:t>อยู่ในทะเบียน ณ วันที่ได้บันทึกมูลค่าดังกล่าวเป็นผู้มีสิทธิที่จะได้รับเงินภายหลังจากที่สามารถจำหน่ายทรัพย์สินนั้นได้</w:t>
            </w:r>
          </w:p>
          <w:p w14:paraId="1664F929" w14:textId="4476ABB1" w:rsidR="001534F2" w:rsidRPr="00D465D6" w:rsidRDefault="000C507F" w:rsidP="000C507F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3.4  การกำหนดให้</w:t>
            </w:r>
            <w:r w:rsidR="009803D7" w:rsidRPr="00D465D6">
              <w:rPr>
                <w:rFonts w:hint="cs"/>
                <w:sz w:val="28"/>
                <w:szCs w:val="28"/>
                <w:cs/>
              </w:rPr>
              <w:t xml:space="preserve"> บลจ. </w:t>
            </w:r>
            <w:r w:rsidRPr="00D465D6">
              <w:rPr>
                <w:sz w:val="28"/>
                <w:szCs w:val="28"/>
                <w:cs/>
              </w:rPr>
              <w:t xml:space="preserve">สามารถระงับการซื้อขายหน่วยลงทุน </w:t>
            </w:r>
            <w:r w:rsidR="00FB234B" w:rsidRPr="00D465D6">
              <w:rPr>
                <w:sz w:val="28"/>
                <w:szCs w:val="28"/>
                <w:cs/>
              </w:rPr>
              <w:t>เมื่อเกิดเหตุ</w:t>
            </w:r>
            <w:r w:rsidR="00261B08">
              <w:rPr>
                <w:sz w:val="28"/>
                <w:szCs w:val="28"/>
                <w:cs/>
              </w:rPr>
              <w:br/>
            </w:r>
            <w:r w:rsidR="00FB234B" w:rsidRPr="00D465D6">
              <w:rPr>
                <w:sz w:val="28"/>
                <w:szCs w:val="28"/>
                <w:cs/>
              </w:rPr>
              <w:t>ที่กำหนดในประกาศการจัดการ</w:t>
            </w:r>
            <w:r w:rsidR="00D56E49" w:rsidRPr="00D465D6">
              <w:rPr>
                <w:sz w:val="28"/>
                <w:szCs w:val="28"/>
                <w:cs/>
              </w:rPr>
              <w:t>กองทุน</w:t>
            </w:r>
          </w:p>
        </w:tc>
      </w:tr>
      <w:tr w:rsidR="001534F2" w:rsidRPr="00D465D6" w14:paraId="44E312E6" w14:textId="77777777" w:rsidTr="003C29F1">
        <w:tc>
          <w:tcPr>
            <w:tcW w:w="3510" w:type="dxa"/>
          </w:tcPr>
          <w:p w14:paraId="295BB66E" w14:textId="2C2FD44A" w:rsidR="001534F2" w:rsidRPr="00105A6F" w:rsidRDefault="001534F2">
            <w:pPr>
              <w:rPr>
                <w:highlight w:val="green"/>
              </w:rPr>
            </w:pPr>
            <w:r w:rsidRPr="00BC0CEF">
              <w:rPr>
                <w:sz w:val="28"/>
                <w:szCs w:val="28"/>
                <w:cs/>
              </w:rPr>
              <w:lastRenderedPageBreak/>
              <w:t>4</w:t>
            </w:r>
            <w:r w:rsidRPr="00BC0CEF">
              <w:rPr>
                <w:sz w:val="28"/>
                <w:szCs w:val="28"/>
              </w:rPr>
              <w:t xml:space="preserve">.  </w:t>
            </w:r>
            <w:r w:rsidRPr="00BC0CEF">
              <w:rPr>
                <w:sz w:val="28"/>
                <w:szCs w:val="28"/>
                <w:cs/>
              </w:rPr>
              <w:t>คำเตือน</w:t>
            </w:r>
          </w:p>
        </w:tc>
        <w:tc>
          <w:tcPr>
            <w:tcW w:w="5850" w:type="dxa"/>
          </w:tcPr>
          <w:p w14:paraId="2D30EF99" w14:textId="2B6CA21A" w:rsidR="001B1901" w:rsidRPr="00D465D6" w:rsidRDefault="001B1901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ให้แสดงข้อมูลดังนี้</w:t>
            </w:r>
          </w:p>
          <w:p w14:paraId="3B4B6D9C" w14:textId="54150C87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4.1  </w:t>
            </w:r>
            <w:r w:rsidRPr="00D465D6">
              <w:rPr>
                <w:sz w:val="28"/>
                <w:szCs w:val="28"/>
                <w:u w:val="single"/>
                <w:cs/>
              </w:rPr>
              <w:t>คำเตือนใต้ชื่อกองทุน</w:t>
            </w:r>
            <w:r w:rsidR="00070869" w:rsidRPr="00D465D6">
              <w:rPr>
                <w:rFonts w:eastAsia="Calibri"/>
                <w:sz w:val="28"/>
                <w:szCs w:val="28"/>
                <w:u w:val="single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 xml:space="preserve"> ซึ่งต้องมีข้อมูลดังนี้ ใต้ชื่อกองทุน</w:t>
            </w:r>
            <w:r w:rsidR="00070869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 xml:space="preserve"> </w:t>
            </w:r>
            <w:r w:rsidR="00AF04C3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ในจุดแรกที่สามารถเห็นได้ชัดเจน ด้วยตัวอักษรที่มีขนาดไม่เล็กกว่าขนาดตัวอักษรส่วนใหญ่ในหนังสือชี้ชวน</w:t>
            </w:r>
          </w:p>
          <w:p w14:paraId="57B8DA1A" w14:textId="0C07431C" w:rsidR="001534F2" w:rsidRPr="00D465D6" w:rsidRDefault="001534F2" w:rsidP="0006072C">
            <w:pPr>
              <w:ind w:firstLine="431"/>
              <w:rPr>
                <w:sz w:val="28"/>
                <w:szCs w:val="28"/>
              </w:rPr>
            </w:pPr>
            <w:r w:rsidRPr="00261B08">
              <w:rPr>
                <w:sz w:val="28"/>
                <w:szCs w:val="28"/>
                <w:cs/>
              </w:rPr>
              <w:t>4.1.1  กรณีกองทุน</w:t>
            </w:r>
            <w:r w:rsidR="00070869" w:rsidRPr="00261B08">
              <w:rPr>
                <w:rFonts w:eastAsia="Calibri"/>
                <w:sz w:val="28"/>
                <w:szCs w:val="28"/>
                <w:cs/>
              </w:rPr>
              <w:t>รวม</w:t>
            </w:r>
            <w:r w:rsidRPr="00261B08">
              <w:rPr>
                <w:sz w:val="28"/>
                <w:szCs w:val="28"/>
                <w:cs/>
              </w:rPr>
              <w:t xml:space="preserve"> </w:t>
            </w:r>
            <w:r w:rsidRPr="00261B08">
              <w:rPr>
                <w:sz w:val="28"/>
                <w:szCs w:val="28"/>
              </w:rPr>
              <w:t>buy &amp; hold</w:t>
            </w:r>
            <w:r w:rsidRPr="00261B08">
              <w:rPr>
                <w:sz w:val="28"/>
                <w:szCs w:val="28"/>
                <w:cs/>
              </w:rPr>
              <w:t xml:space="preserve"> หรือกองทุน</w:t>
            </w:r>
            <w:r w:rsidR="00175764" w:rsidRPr="00261B08">
              <w:rPr>
                <w:rFonts w:eastAsia="Calibri"/>
                <w:sz w:val="28"/>
                <w:szCs w:val="28"/>
                <w:cs/>
              </w:rPr>
              <w:t>รวม</w:t>
            </w:r>
            <w:r w:rsidRPr="00261B08">
              <w:rPr>
                <w:sz w:val="28"/>
                <w:szCs w:val="28"/>
                <w:cs/>
              </w:rPr>
              <w:t xml:space="preserve"> </w:t>
            </w:r>
            <w:r w:rsidRPr="00261B08">
              <w:rPr>
                <w:sz w:val="28"/>
                <w:szCs w:val="28"/>
              </w:rPr>
              <w:t>trigger</w:t>
            </w:r>
            <w:r w:rsidRPr="00261B08">
              <w:rPr>
                <w:sz w:val="28"/>
                <w:szCs w:val="28"/>
                <w:cs/>
              </w:rPr>
              <w:t xml:space="preserve"> ที่มีการกำหนด</w:t>
            </w:r>
            <w:r w:rsidRPr="00D465D6">
              <w:rPr>
                <w:sz w:val="28"/>
                <w:szCs w:val="28"/>
                <w:cs/>
              </w:rPr>
              <w:t xml:space="preserve">ห้ามผู้ถือหน่วยลงทุนขายคืนหน่วยลงทุนในช่วงระยะเวลาใด ๆ </w:t>
            </w:r>
            <w:r w:rsidR="00543F9D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 xml:space="preserve">ต้องจัดให้มีคำเตือนว่า“ผู้ลงทุนไม่สามารถขายคืนหน่วยลงทุนนี้ในช่วงเวลา (ระบุ </w:t>
            </w:r>
            <w:r w:rsidRPr="00D465D6">
              <w:rPr>
                <w:sz w:val="28"/>
                <w:szCs w:val="28"/>
              </w:rPr>
              <w:t xml:space="preserve">x </w:t>
            </w:r>
            <w:r w:rsidRPr="00D465D6">
              <w:rPr>
                <w:sz w:val="28"/>
                <w:szCs w:val="28"/>
                <w:cs/>
              </w:rPr>
              <w:t>วัน/เดือน/ปี) ได้ ดังนั้น หากมีปัจจัยลบที่ส่งผลกระทบต่อการลงทุนดังกล่าว ผู้ลงทุนอาจสูญเสียเงินลงทุนจำนวนมาก”</w:t>
            </w:r>
          </w:p>
          <w:p w14:paraId="69940EE1" w14:textId="22EDEACF" w:rsidR="001534F2" w:rsidRPr="00D465D6" w:rsidRDefault="001534F2" w:rsidP="005A7FF7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4.1.2  กรณีกองทุน</w:t>
            </w:r>
            <w:r w:rsidR="00175764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ที่มีนโยบายการลงทุนแบบกระจุกตัว ให้มีข้อมูลคำเตือนดังนี้</w:t>
            </w:r>
          </w:p>
          <w:p w14:paraId="700BBC1B" w14:textId="52E5AD7D" w:rsidR="001534F2" w:rsidRPr="00D465D6" w:rsidRDefault="001534F2" w:rsidP="005A7FF7">
            <w:pPr>
              <w:ind w:firstLine="97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4.1.2.1  คำเตือนเกี่ยวกับการกระจุกตัวอย่างใดอย่างหนึ่งหรือ</w:t>
            </w:r>
            <w:r w:rsidR="000B27ED" w:rsidRPr="00D465D6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หลายอย่าง แล้วแต่กรณี</w:t>
            </w:r>
            <w:r w:rsidRPr="00D465D6">
              <w:rPr>
                <w:sz w:val="28"/>
                <w:szCs w:val="28"/>
              </w:rPr>
              <w:t xml:space="preserve"> </w:t>
            </w:r>
            <w:r w:rsidRPr="00D465D6">
              <w:rPr>
                <w:sz w:val="28"/>
                <w:szCs w:val="28"/>
                <w:cs/>
              </w:rPr>
              <w:t>ดังนี้</w:t>
            </w:r>
          </w:p>
          <w:p w14:paraId="6C4B5ED5" w14:textId="6C9622F1" w:rsidR="001534F2" w:rsidRPr="00D465D6" w:rsidRDefault="001534F2" w:rsidP="005A7FF7">
            <w:pPr>
              <w:ind w:firstLine="1601"/>
              <w:rPr>
                <w:sz w:val="28"/>
                <w:szCs w:val="28"/>
              </w:rPr>
            </w:pPr>
            <w:r w:rsidRPr="00BC32B2">
              <w:rPr>
                <w:sz w:val="28"/>
                <w:szCs w:val="28"/>
                <w:cs/>
              </w:rPr>
              <w:t>(1)  กรณีที่มีการลงทุนแบบกระจุกตัวในตราสาร</w:t>
            </w:r>
            <w:r w:rsidRPr="00BC32B2">
              <w:rPr>
                <w:rStyle w:val="FootnoteReference"/>
                <w:sz w:val="28"/>
                <w:szCs w:val="28"/>
                <w:cs/>
              </w:rPr>
              <w:footnoteReference w:id="3"/>
            </w:r>
            <w:r w:rsidRPr="00BC32B2">
              <w:rPr>
                <w:sz w:val="28"/>
                <w:szCs w:val="28"/>
                <w:cs/>
              </w:rPr>
              <w:t xml:space="preserve"> </w:t>
            </w:r>
            <w:r w:rsidR="00BC32B2">
              <w:rPr>
                <w:sz w:val="28"/>
                <w:szCs w:val="28"/>
                <w:cs/>
              </w:rPr>
              <w:br/>
            </w:r>
            <w:r w:rsidRPr="00BC32B2">
              <w:rPr>
                <w:sz w:val="28"/>
                <w:szCs w:val="28"/>
                <w:cs/>
              </w:rPr>
              <w:t>ของผู้ออก</w:t>
            </w:r>
            <w:r w:rsidRPr="00D465D6">
              <w:rPr>
                <w:sz w:val="28"/>
                <w:szCs w:val="28"/>
                <w:cs/>
              </w:rPr>
              <w:t>ตราสาร คู่สัญญา หรือบุคคลอื่นที่มีภาระผูกพันตามตราสารหรือ</w:t>
            </w:r>
            <w:r w:rsidRPr="00D465D6">
              <w:rPr>
                <w:sz w:val="28"/>
                <w:szCs w:val="28"/>
                <w:cs/>
              </w:rPr>
              <w:lastRenderedPageBreak/>
              <w:t>สัญญานั้น รายใดรายหนึ่งเกินกว่าร้อยละ 10 ของ</w:t>
            </w:r>
            <w:r w:rsidRPr="00D465D6">
              <w:rPr>
                <w:sz w:val="28"/>
                <w:szCs w:val="28"/>
              </w:rPr>
              <w:t xml:space="preserve"> NAV</w:t>
            </w:r>
            <w:r w:rsidR="000B27ED" w:rsidRPr="00D465D6">
              <w:rPr>
                <w:rFonts w:hint="cs"/>
                <w:sz w:val="28"/>
                <w:szCs w:val="28"/>
                <w:cs/>
              </w:rPr>
              <w:t xml:space="preserve"> ของกองทุนรวม</w:t>
            </w:r>
            <w:r w:rsidRPr="00D465D6">
              <w:rPr>
                <w:sz w:val="28"/>
                <w:szCs w:val="28"/>
                <w:cs/>
              </w:rPr>
              <w:t xml:space="preserve"> </w:t>
            </w:r>
            <w:r w:rsidR="00693847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ให้มีคำเตือนว่า“กองทุน</w:t>
            </w:r>
            <w:r w:rsidR="00175764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นี้ลงทุนกระจุกตัวในผู้ออก”</w:t>
            </w:r>
          </w:p>
          <w:p w14:paraId="2281FFC0" w14:textId="661A9D12" w:rsidR="001534F2" w:rsidRPr="00D465D6" w:rsidRDefault="001534F2" w:rsidP="00AE725F">
            <w:pPr>
              <w:ind w:firstLine="1601"/>
              <w:rPr>
                <w:sz w:val="28"/>
                <w:szCs w:val="28"/>
              </w:rPr>
            </w:pPr>
            <w:r w:rsidRPr="001A1FAB">
              <w:rPr>
                <w:spacing w:val="-7"/>
                <w:sz w:val="28"/>
                <w:szCs w:val="28"/>
                <w:cs/>
              </w:rPr>
              <w:t>(2)  กรณีที่มีการลงทุนในกิจการที่อยู่ในหมวดอุตสาหกรรม</w:t>
            </w:r>
            <w:r w:rsidRPr="001A1FAB">
              <w:rPr>
                <w:rStyle w:val="FootnoteReference"/>
                <w:spacing w:val="-7"/>
                <w:sz w:val="28"/>
                <w:szCs w:val="28"/>
                <w:cs/>
              </w:rPr>
              <w:footnoteReference w:id="4"/>
            </w:r>
            <w:r w:rsidRPr="00D465D6">
              <w:rPr>
                <w:sz w:val="28"/>
                <w:szCs w:val="28"/>
                <w:cs/>
              </w:rPr>
              <w:t xml:space="preserve"> หรือของกิจการที่มีลักษณะเทียบเคียงได้กับกิจการที่อยู่ในหมวดอุตสาหกรรมดังกล่าว โดยเป็นการลงทุนในทรัพย์สินดังนี้ รวมกันไม่น้อยกว่าร้อยละ 50 </w:t>
            </w:r>
            <w:r w:rsidR="001A1FAB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ขอ</w:t>
            </w:r>
            <w:r w:rsidR="000B27ED" w:rsidRPr="00D465D6">
              <w:rPr>
                <w:rFonts w:hint="cs"/>
                <w:sz w:val="28"/>
                <w:szCs w:val="28"/>
                <w:cs/>
              </w:rPr>
              <w:t>ง</w:t>
            </w:r>
            <w:r w:rsidRPr="00D465D6">
              <w:rPr>
                <w:sz w:val="28"/>
                <w:szCs w:val="28"/>
                <w:cs/>
              </w:rPr>
              <w:t xml:space="preserve"> </w:t>
            </w:r>
            <w:r w:rsidRPr="00D465D6">
              <w:rPr>
                <w:sz w:val="28"/>
                <w:szCs w:val="28"/>
              </w:rPr>
              <w:t>NAV</w:t>
            </w:r>
            <w:r w:rsidRPr="00D465D6">
              <w:rPr>
                <w:sz w:val="28"/>
                <w:szCs w:val="28"/>
                <w:cs/>
              </w:rPr>
              <w:t xml:space="preserve"> </w:t>
            </w:r>
            <w:r w:rsidR="000B27ED" w:rsidRPr="00D465D6">
              <w:rPr>
                <w:rFonts w:hint="cs"/>
                <w:sz w:val="28"/>
                <w:szCs w:val="28"/>
                <w:cs/>
              </w:rPr>
              <w:t>ของกองทุนรวม</w:t>
            </w:r>
            <w:r w:rsidR="000B27ED" w:rsidRPr="00D465D6">
              <w:rPr>
                <w:sz w:val="28"/>
                <w:szCs w:val="28"/>
                <w:cs/>
              </w:rPr>
              <w:t xml:space="preserve"> </w:t>
            </w:r>
            <w:r w:rsidRPr="00D465D6">
              <w:rPr>
                <w:sz w:val="28"/>
                <w:szCs w:val="28"/>
                <w:cs/>
              </w:rPr>
              <w:t>ต้องจัดให้มีคำเตือนว่า “กองทุน</w:t>
            </w:r>
            <w:r w:rsidR="00175764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นี้ลงทุนกระจุกตัวในหมวดอุตสาหกรรม”</w:t>
            </w:r>
          </w:p>
          <w:p w14:paraId="703D31A7" w14:textId="11CB7791" w:rsidR="001534F2" w:rsidRPr="00D465D6" w:rsidRDefault="001534F2" w:rsidP="00C0176A">
            <w:pPr>
              <w:ind w:firstLine="196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(2.1)  หุ้น</w:t>
            </w:r>
          </w:p>
          <w:p w14:paraId="3B356AA5" w14:textId="204BC53C" w:rsidR="00520F9F" w:rsidRPr="00D465D6" w:rsidRDefault="001534F2" w:rsidP="00C0176A">
            <w:pPr>
              <w:ind w:firstLine="196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(2.2)  หน่วยของกองทรัพย์สินที่เกี่ยวข้องกับโครงสร้างพื้นฐาน</w:t>
            </w:r>
            <w:r w:rsidR="00691682" w:rsidRPr="00D465D6">
              <w:rPr>
                <w:rStyle w:val="FootnoteReference"/>
                <w:sz w:val="28"/>
                <w:szCs w:val="28"/>
                <w:cs/>
              </w:rPr>
              <w:footnoteReference w:id="5"/>
            </w:r>
            <w:r w:rsidRPr="00D465D6">
              <w:rPr>
                <w:sz w:val="28"/>
                <w:szCs w:val="28"/>
                <w:cs/>
              </w:rPr>
              <w:t xml:space="preserve"> เฉพาะที่สอดคล้องกับหมวดอุตสาหกรรมดังกล่าว</w:t>
            </w:r>
          </w:p>
          <w:p w14:paraId="7796D524" w14:textId="72EBE7E1" w:rsidR="001534F2" w:rsidRPr="00D465D6" w:rsidRDefault="001534F2" w:rsidP="00C0176A">
            <w:pPr>
              <w:ind w:firstLine="196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(2.3)  หน่ว</w:t>
            </w:r>
            <w:r w:rsidR="00691682" w:rsidRPr="00D465D6">
              <w:rPr>
                <w:sz w:val="28"/>
                <w:szCs w:val="28"/>
                <w:cs/>
              </w:rPr>
              <w:t>ย</w:t>
            </w:r>
            <w:r w:rsidRPr="00D465D6">
              <w:rPr>
                <w:sz w:val="28"/>
                <w:szCs w:val="28"/>
                <w:cs/>
              </w:rPr>
              <w:t>ของกองทรัพย์สินที่เกี่ยวข้องกับอสังหาริมทรัพย์</w:t>
            </w:r>
            <w:r w:rsidR="00691682" w:rsidRPr="00D465D6">
              <w:rPr>
                <w:rStyle w:val="FootnoteReference"/>
                <w:sz w:val="28"/>
                <w:szCs w:val="28"/>
                <w:cs/>
              </w:rPr>
              <w:footnoteReference w:id="6"/>
            </w:r>
            <w:r w:rsidRPr="00D465D6">
              <w:rPr>
                <w:sz w:val="28"/>
                <w:szCs w:val="28"/>
                <w:cs/>
              </w:rPr>
              <w:t xml:space="preserve"> โดยให้นับรวมกับทรัพย์สินตาม (2.1) และ (2.2) ที่อยู่ใน</w:t>
            </w:r>
            <w:r w:rsidR="00592D5C" w:rsidRPr="00D465D6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หมวดพัฒนาอสังหาริมทรัพย์</w:t>
            </w:r>
          </w:p>
          <w:p w14:paraId="707BB2CC" w14:textId="7FF4F24A" w:rsidR="001534F2" w:rsidRPr="00D465D6" w:rsidRDefault="001534F2" w:rsidP="00B77253">
            <w:pPr>
              <w:ind w:firstLine="97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4.1.2.2  คำเตือนเพิ่มเติมต่อจากคำเตือนตาม 4.1.2.1 ว่า </w:t>
            </w:r>
            <w:r w:rsidR="00B77253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“จึงมีความเสี่ยงที่ผู้ลงทุนอาจสูญเสียเงินลงทุนจำนวนมาก”</w:t>
            </w:r>
          </w:p>
          <w:p w14:paraId="1FF68DE7" w14:textId="75FA885A" w:rsidR="001534F2" w:rsidRPr="009A011B" w:rsidRDefault="001534F2" w:rsidP="00B77253">
            <w:pPr>
              <w:ind w:firstLine="431"/>
              <w:rPr>
                <w:sz w:val="28"/>
                <w:szCs w:val="28"/>
                <w:cs/>
              </w:rPr>
            </w:pPr>
            <w:r w:rsidRPr="009A011B">
              <w:rPr>
                <w:sz w:val="28"/>
                <w:szCs w:val="28"/>
                <w:cs/>
              </w:rPr>
              <w:t xml:space="preserve">4.1.3  </w:t>
            </w:r>
            <w:r w:rsidR="0023006A" w:rsidRPr="00E5352C">
              <w:rPr>
                <w:rFonts w:hint="cs"/>
                <w:i/>
                <w:iCs/>
                <w:sz w:val="28"/>
                <w:szCs w:val="28"/>
                <w:cs/>
              </w:rPr>
              <w:t>(ยกเลิก)</w:t>
            </w:r>
          </w:p>
          <w:p w14:paraId="122272B6" w14:textId="60918D71" w:rsidR="004912A2" w:rsidRDefault="004912A2" w:rsidP="00B77253">
            <w:pPr>
              <w:ind w:firstLine="431"/>
              <w:rPr>
                <w:sz w:val="28"/>
                <w:szCs w:val="28"/>
              </w:rPr>
            </w:pPr>
            <w:r w:rsidRPr="00AE2375">
              <w:rPr>
                <w:sz w:val="28"/>
                <w:szCs w:val="28"/>
                <w:cs/>
              </w:rPr>
              <w:t>4.1.</w:t>
            </w:r>
            <w:r w:rsidR="00735127">
              <w:rPr>
                <w:sz w:val="28"/>
                <w:szCs w:val="28"/>
              </w:rPr>
              <w:t>4</w:t>
            </w:r>
            <w:r w:rsidRPr="00AE2375">
              <w:rPr>
                <w:sz w:val="28"/>
                <w:szCs w:val="28"/>
                <w:cs/>
              </w:rPr>
              <w:t xml:space="preserve">  </w:t>
            </w:r>
            <w:r w:rsidRPr="00AE2375">
              <w:rPr>
                <w:rFonts w:hint="cs"/>
                <w:sz w:val="28"/>
                <w:szCs w:val="28"/>
                <w:cs/>
              </w:rPr>
              <w:t xml:space="preserve">กรณีกองทุนรวม </w:t>
            </w:r>
            <w:r w:rsidR="00185250" w:rsidRPr="00AE2375">
              <w:rPr>
                <w:sz w:val="28"/>
                <w:szCs w:val="28"/>
              </w:rPr>
              <w:t>T</w:t>
            </w:r>
            <w:r w:rsidR="002F54F0" w:rsidRPr="00AE2375">
              <w:rPr>
                <w:sz w:val="28"/>
                <w:szCs w:val="28"/>
              </w:rPr>
              <w:t>hai E</w:t>
            </w:r>
            <w:r w:rsidR="00185250" w:rsidRPr="00AE2375">
              <w:rPr>
                <w:sz w:val="28"/>
                <w:szCs w:val="28"/>
              </w:rPr>
              <w:t xml:space="preserve">SG </w:t>
            </w:r>
            <w:r w:rsidR="00584CB5" w:rsidRPr="009A011B">
              <w:rPr>
                <w:rFonts w:hint="cs"/>
                <w:sz w:val="28"/>
                <w:szCs w:val="28"/>
                <w:cs/>
              </w:rPr>
              <w:t xml:space="preserve">หรือกองทุนรวม </w:t>
            </w:r>
            <w:r w:rsidR="00584CB5" w:rsidRPr="009A011B">
              <w:rPr>
                <w:sz w:val="28"/>
                <w:szCs w:val="28"/>
              </w:rPr>
              <w:t>Thai ESGX</w:t>
            </w:r>
            <w:r w:rsidR="00584CB5" w:rsidRPr="004E2C81">
              <w:rPr>
                <w:sz w:val="28"/>
                <w:szCs w:val="28"/>
              </w:rPr>
              <w:t xml:space="preserve"> </w:t>
            </w:r>
            <w:r w:rsidR="00185250" w:rsidRPr="00AE2375">
              <w:rPr>
                <w:rFonts w:hint="cs"/>
                <w:sz w:val="28"/>
                <w:szCs w:val="28"/>
                <w:cs/>
              </w:rPr>
              <w:t>ต้องจัดให้มี</w:t>
            </w:r>
            <w:r w:rsidR="00A81FA3" w:rsidRPr="00AE2375">
              <w:rPr>
                <w:rFonts w:hint="cs"/>
                <w:sz w:val="28"/>
                <w:szCs w:val="28"/>
                <w:cs/>
              </w:rPr>
              <w:t>คำเตือน</w:t>
            </w:r>
            <w:r w:rsidR="00ED100F" w:rsidRPr="00AE2375">
              <w:rPr>
                <w:rFonts w:hint="cs"/>
                <w:sz w:val="28"/>
                <w:szCs w:val="28"/>
                <w:cs/>
              </w:rPr>
              <w:t>ว่า</w:t>
            </w:r>
            <w:r w:rsidR="00A81FA3" w:rsidRPr="00AE237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81FA3" w:rsidRPr="00AE2375">
              <w:rPr>
                <w:sz w:val="28"/>
                <w:szCs w:val="28"/>
              </w:rPr>
              <w:t>“</w:t>
            </w:r>
            <w:r w:rsidR="00A81FA3" w:rsidRPr="00AE2375">
              <w:rPr>
                <w:rFonts w:hint="cs"/>
                <w:sz w:val="28"/>
                <w:szCs w:val="28"/>
                <w:cs/>
              </w:rPr>
              <w:t>ผู้ลงทุนควรศึกษาข้อมูล</w:t>
            </w:r>
            <w:r w:rsidR="00F62D1D" w:rsidRPr="00AE2375">
              <w:rPr>
                <w:rFonts w:hint="cs"/>
                <w:sz w:val="28"/>
                <w:szCs w:val="28"/>
                <w:cs/>
              </w:rPr>
              <w:t>เกี่ยวกับสิทธิประโยชน์ทางภาษีที่ระบุ</w:t>
            </w:r>
            <w:r w:rsidR="009D0B08" w:rsidRPr="00AE2375">
              <w:rPr>
                <w:rFonts w:hint="cs"/>
                <w:sz w:val="28"/>
                <w:szCs w:val="28"/>
                <w:cs/>
              </w:rPr>
              <w:t>ใน</w:t>
            </w:r>
            <w:r w:rsidR="00C8353F" w:rsidRPr="00AE2375">
              <w:rPr>
                <w:rFonts w:hint="cs"/>
                <w:sz w:val="28"/>
                <w:szCs w:val="28"/>
                <w:cs/>
              </w:rPr>
              <w:t>คู่มือ</w:t>
            </w:r>
            <w:r w:rsidR="009D0B08" w:rsidRPr="00AE2375">
              <w:rPr>
                <w:rFonts w:hint="cs"/>
                <w:sz w:val="28"/>
                <w:szCs w:val="28"/>
                <w:cs/>
              </w:rPr>
              <w:t>การลงทุนด้วย</w:t>
            </w:r>
            <w:r w:rsidR="00A81FA3" w:rsidRPr="00AE2375">
              <w:rPr>
                <w:sz w:val="28"/>
                <w:szCs w:val="28"/>
              </w:rPr>
              <w:t>”</w:t>
            </w:r>
          </w:p>
          <w:p w14:paraId="50AE902A" w14:textId="0E503913" w:rsidR="001534F2" w:rsidRPr="00D465D6" w:rsidRDefault="001534F2" w:rsidP="007E2039">
            <w:pPr>
              <w:rPr>
                <w:sz w:val="28"/>
                <w:szCs w:val="28"/>
              </w:rPr>
            </w:pPr>
            <w:r w:rsidRPr="00AE2375">
              <w:rPr>
                <w:sz w:val="28"/>
                <w:szCs w:val="28"/>
                <w:cs/>
              </w:rPr>
              <w:t xml:space="preserve">4.2  </w:t>
            </w:r>
            <w:r w:rsidRPr="00AE2375">
              <w:rPr>
                <w:sz w:val="28"/>
                <w:szCs w:val="28"/>
                <w:u w:val="single"/>
                <w:cs/>
              </w:rPr>
              <w:t>คำเตือนเกี่ยวกับการลงทุนในหน่วยลงทุน</w:t>
            </w:r>
            <w:r w:rsidRPr="00AE2375">
              <w:rPr>
                <w:sz w:val="28"/>
                <w:szCs w:val="28"/>
                <w:cs/>
              </w:rPr>
              <w:t xml:space="preserve"> อย่างน้อยดังนี้ ด้วยตัวอักษร</w:t>
            </w:r>
            <w:r w:rsidRPr="00D465D6">
              <w:rPr>
                <w:sz w:val="28"/>
                <w:szCs w:val="28"/>
                <w:cs/>
              </w:rPr>
              <w:t>ที่มี</w:t>
            </w:r>
            <w:r w:rsidR="00592D5C" w:rsidRPr="00D465D6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ความชัดเจนและมีขนาดไม่เล็กกว่าตัวอักษรปกติของหนังสือชี้ชวนนั้น</w:t>
            </w:r>
          </w:p>
          <w:p w14:paraId="53DD6C67" w14:textId="1C06AB36" w:rsidR="001534F2" w:rsidRPr="00D465D6" w:rsidRDefault="001534F2" w:rsidP="007E2039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lastRenderedPageBreak/>
              <w:t>4.2.1  คำเตือนว่า “การพิจารณาร่างหนังสือชี้ชวนในการเสนอขายหน่วยลงทุนของกองทุนรวมนี้มิได้เป็นการแสดงว่าสำนักงานได้รับรองถึงความถูกต้องของข้อมูลในหนังสือชี้ชวนของกองทุนรวม หรือได้ประกันราคาหรือผลตอบแทนของหน่วยลงทุนที่เสนอขายนั้น”</w:t>
            </w:r>
          </w:p>
          <w:p w14:paraId="3E72603E" w14:textId="765603D2" w:rsidR="001B1901" w:rsidRPr="00D465D6" w:rsidRDefault="001534F2" w:rsidP="007E2039">
            <w:pPr>
              <w:ind w:firstLine="431"/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4.2.2  คำเตือนในกรณีที่ บลจ. มีธุรกรรมที่อาจก่อให้เกิดความขัดแย้งทางผลประโยชน์ โดยต้องเปิดเผยข้อมูลเกี่ยวกับความขัดแย้งทางผลประโยชน์ดังกล่าว เช่น กรณี บลจ. มีการลงทุนเพื่อตนเองซึ่งอาจก่อให้เกิดความขัดแย้งกับประโยชน์ของกองทุน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 xml:space="preserve">  รวมทั้งต้องแสดงช่องทางและวิธีการที่ผู้ถือหน่วยลงทุนสามารถตรวจสอบรายละเอียด และสอบถามข้อมูลอื่นเพิ่มเติม เช่น ทางเว็บไซต์ของ บลจ. เป็นต้น</w:t>
            </w:r>
          </w:p>
        </w:tc>
      </w:tr>
      <w:tr w:rsidR="001534F2" w:rsidRPr="00D465D6" w14:paraId="7E80C0C0" w14:textId="77777777" w:rsidTr="003C29F1">
        <w:tc>
          <w:tcPr>
            <w:tcW w:w="3510" w:type="dxa"/>
          </w:tcPr>
          <w:p w14:paraId="5658DC5E" w14:textId="19DF7434" w:rsidR="001534F2" w:rsidRPr="00D465D6" w:rsidRDefault="001534F2">
            <w:r w:rsidRPr="00D465D6">
              <w:rPr>
                <w:sz w:val="28"/>
                <w:szCs w:val="28"/>
                <w:cs/>
              </w:rPr>
              <w:lastRenderedPageBreak/>
              <w:t>5.  สิทธิและข้อจำกัดของผู้ถือหน่วยลงทุน</w:t>
            </w:r>
          </w:p>
        </w:tc>
        <w:tc>
          <w:tcPr>
            <w:tcW w:w="5850" w:type="dxa"/>
          </w:tcPr>
          <w:p w14:paraId="3F57741A" w14:textId="586DF823" w:rsidR="001534F2" w:rsidRPr="00D465D6" w:rsidRDefault="001B1901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ให้แสดงข้อมูล</w:t>
            </w:r>
            <w:r w:rsidR="001534F2" w:rsidRPr="00D465D6">
              <w:rPr>
                <w:sz w:val="28"/>
                <w:szCs w:val="28"/>
                <w:cs/>
              </w:rPr>
              <w:t>อย่างน้อยดังนี้</w:t>
            </w:r>
          </w:p>
          <w:p w14:paraId="482E8F1B" w14:textId="6337F732" w:rsidR="00B65380" w:rsidRPr="00D465D6" w:rsidRDefault="00B65380" w:rsidP="00B65380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5.</w:t>
            </w:r>
            <w:r w:rsidR="00BB0C37" w:rsidRPr="00D465D6">
              <w:rPr>
                <w:rFonts w:hint="cs"/>
                <w:sz w:val="28"/>
                <w:szCs w:val="28"/>
                <w:cs/>
              </w:rPr>
              <w:t>1</w:t>
            </w:r>
            <w:r w:rsidRPr="00D465D6">
              <w:rPr>
                <w:sz w:val="28"/>
                <w:szCs w:val="28"/>
                <w:cs/>
              </w:rPr>
              <w:t xml:space="preserve">  เงื่อนไขที่ผู้ถือหน่วยลงทุนของกองทุน</w:t>
            </w:r>
            <w:r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นี้อาจถูกจำกัดสิทธิ ทั้งนี้ ให้แสดงข้อมูลเกี่ยวกับการถูกจำกัดสิทธิออกเสียงในกรณีที่ผู้ถือหน่วยลงทุนถือหน่วยลงทุนเกินกว่าอัตราที่ประกาศกำหนด หรือในกรณีอื่นด้วย (ถ้ามี)</w:t>
            </w:r>
          </w:p>
          <w:p w14:paraId="41F27A6E" w14:textId="266580F7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5.</w:t>
            </w:r>
            <w:r w:rsidR="00BB0C37" w:rsidRPr="00D465D6">
              <w:rPr>
                <w:rFonts w:hint="cs"/>
                <w:sz w:val="28"/>
                <w:szCs w:val="28"/>
                <w:cs/>
              </w:rPr>
              <w:t>2</w:t>
            </w:r>
            <w:r w:rsidRPr="00D465D6">
              <w:rPr>
                <w:sz w:val="28"/>
                <w:szCs w:val="28"/>
                <w:cs/>
              </w:rPr>
              <w:t xml:space="preserve">  ข้อมูลการถือหน่วยลงทุนเกินข้อจำกัดในการใช้สิทธิออกเสียงที่มีแนวโน้มว่าอาจจะเกิดขึ้น (ถ้ามี) โดยให้ระบุจำนวนบุคคลที่ถือหน่วยลงทุนเกินข้อจำกัดดังกล่าว พร้อมทั้งช่องทางการตรวจสอบข้อมูลสัดส่วนการถือหน่วยลงทุนของบุคคลนั้นด้วย </w:t>
            </w:r>
            <w:r w:rsidRPr="00D465D6">
              <w:rPr>
                <w:sz w:val="28"/>
                <w:szCs w:val="28"/>
                <w:cs/>
              </w:rPr>
              <w:br/>
              <w:t>5.</w:t>
            </w:r>
            <w:r w:rsidR="00BB0C37" w:rsidRPr="00D465D6">
              <w:rPr>
                <w:rFonts w:hint="cs"/>
                <w:sz w:val="28"/>
                <w:szCs w:val="28"/>
                <w:cs/>
              </w:rPr>
              <w:t>3</w:t>
            </w:r>
            <w:r w:rsidRPr="00D465D6">
              <w:rPr>
                <w:sz w:val="28"/>
                <w:szCs w:val="28"/>
                <w:cs/>
              </w:rPr>
              <w:t xml:space="preserve">  วิธีการโอนหน่วยลงทุน และข้อจำกัดการโอนหน่วยลงทุน</w:t>
            </w:r>
          </w:p>
          <w:p w14:paraId="0E4F984B" w14:textId="73969161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5.</w:t>
            </w:r>
            <w:r w:rsidR="00BB0C37" w:rsidRPr="00D465D6">
              <w:rPr>
                <w:rFonts w:hint="cs"/>
                <w:sz w:val="28"/>
                <w:szCs w:val="28"/>
                <w:cs/>
              </w:rPr>
              <w:t>4</w:t>
            </w:r>
            <w:r w:rsidRPr="00D465D6">
              <w:rPr>
                <w:sz w:val="28"/>
                <w:szCs w:val="28"/>
                <w:cs/>
              </w:rPr>
              <w:t xml:space="preserve">  การออกและส่งมอบหลักฐานแสดงสิทธิในหน่วยลงทุน</w:t>
            </w:r>
          </w:p>
          <w:p w14:paraId="69450676" w14:textId="1ABBAA68" w:rsidR="001534F2" w:rsidRPr="00D465D6" w:rsidRDefault="001534F2" w:rsidP="001534F2">
            <w:pPr>
              <w:rPr>
                <w:strike/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5.</w:t>
            </w:r>
            <w:r w:rsidR="00B85DE1" w:rsidRPr="00D465D6">
              <w:rPr>
                <w:sz w:val="28"/>
                <w:szCs w:val="28"/>
                <w:cs/>
              </w:rPr>
              <w:t>5</w:t>
            </w:r>
            <w:r w:rsidRPr="00D465D6">
              <w:rPr>
                <w:sz w:val="28"/>
                <w:szCs w:val="28"/>
                <w:cs/>
              </w:rPr>
              <w:t xml:space="preserve"> ช่องทางและวิธีการที่ผู้ถือหน่วยลงทุนสามารถตรวจสอบแนวทางการใช้สิทธิออกเสียงและการดำเนินการใช้สิทธิออกเสียงของ บลจ. </w:t>
            </w:r>
            <w:r w:rsidR="00B85DE1" w:rsidRPr="00D465D6">
              <w:rPr>
                <w:sz w:val="28"/>
                <w:szCs w:val="28"/>
                <w:cs/>
              </w:rPr>
              <w:t>ในห</w:t>
            </w:r>
            <w:r w:rsidR="00DE663E" w:rsidRPr="00D465D6">
              <w:rPr>
                <w:sz w:val="28"/>
                <w:szCs w:val="28"/>
                <w:cs/>
              </w:rPr>
              <w:t>ลักทรัพย์</w:t>
            </w:r>
            <w:r w:rsidR="00B85DE1" w:rsidRPr="00D465D6">
              <w:rPr>
                <w:sz w:val="28"/>
                <w:szCs w:val="28"/>
                <w:cs/>
              </w:rPr>
              <w:t>ของบริษัทใด ๆ ที่กองทุนรวมลงทุน</w:t>
            </w:r>
          </w:p>
          <w:p w14:paraId="343D8910" w14:textId="59190C7D" w:rsidR="00D56A9F" w:rsidRPr="00D465D6" w:rsidRDefault="001534F2" w:rsidP="001534F2">
            <w:pPr>
              <w:rPr>
                <w:rFonts w:eastAsia="Calibri"/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5.</w:t>
            </w:r>
            <w:r w:rsidR="00A467D3" w:rsidRPr="00D465D6">
              <w:rPr>
                <w:rFonts w:hint="cs"/>
                <w:sz w:val="28"/>
                <w:szCs w:val="28"/>
                <w:cs/>
              </w:rPr>
              <w:t>6</w:t>
            </w:r>
            <w:r w:rsidRPr="00D465D6">
              <w:rPr>
                <w:sz w:val="28"/>
                <w:szCs w:val="28"/>
                <w:cs/>
              </w:rPr>
              <w:t xml:space="preserve">  ช่องทางและวิธีการร้องเรียนของผู้ลงทุน และนโยบายการระงับข้อพิพาท </w:t>
            </w:r>
            <w:r w:rsidRPr="00D465D6">
              <w:rPr>
                <w:sz w:val="28"/>
                <w:szCs w:val="28"/>
                <w:cs/>
              </w:rPr>
              <w:br/>
              <w:t>โดยกระบวนการอนุญาโตตุลาการ ตลอดจนวิธีเข้าสู่กระบวนการดังกล่าวของ</w:t>
            </w:r>
            <w:r w:rsidR="00CF2185" w:rsidRPr="00D465D6">
              <w:rPr>
                <w:sz w:val="28"/>
                <w:szCs w:val="28"/>
                <w:cs/>
              </w:rPr>
              <w:br/>
            </w:r>
            <w:r w:rsidRPr="00D465D6">
              <w:rPr>
                <w:sz w:val="28"/>
                <w:szCs w:val="28"/>
                <w:cs/>
              </w:rPr>
              <w:t>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</w:p>
          <w:p w14:paraId="2A0AE1AF" w14:textId="2C852389" w:rsidR="00A467D3" w:rsidRPr="00D465D6" w:rsidRDefault="00D56A9F" w:rsidP="00A467D3">
            <w:pPr>
              <w:rPr>
                <w:rFonts w:eastAsia="Calibri"/>
                <w:sz w:val="28"/>
                <w:szCs w:val="28"/>
                <w:cs/>
              </w:rPr>
            </w:pPr>
            <w:r w:rsidRPr="00D465D6">
              <w:rPr>
                <w:rFonts w:eastAsia="Calibri"/>
                <w:sz w:val="28"/>
                <w:szCs w:val="28"/>
                <w:cs/>
              </w:rPr>
              <w:t>5.</w:t>
            </w:r>
            <w:r w:rsidR="00A467D3" w:rsidRPr="00D465D6">
              <w:rPr>
                <w:rFonts w:eastAsia="Calibri" w:hint="cs"/>
                <w:sz w:val="28"/>
                <w:szCs w:val="28"/>
                <w:cs/>
              </w:rPr>
              <w:t>7</w:t>
            </w:r>
            <w:r w:rsidRPr="00D465D6">
              <w:rPr>
                <w:rFonts w:eastAsia="Calibri"/>
                <w:sz w:val="28"/>
                <w:szCs w:val="28"/>
                <w:cs/>
              </w:rPr>
              <w:t xml:space="preserve">  ภูมิลำเนาเพื่อการวางทรัพย์ สำหรับผู้ถือหน่วยลงทุนทุกรายที่ไม่มีภูมิลำเนาในประเทศไทย (ถ้ามี)</w:t>
            </w:r>
          </w:p>
        </w:tc>
      </w:tr>
      <w:tr w:rsidR="001534F2" w:rsidRPr="00D465D6" w14:paraId="7F978329" w14:textId="77777777" w:rsidTr="003C29F1">
        <w:tc>
          <w:tcPr>
            <w:tcW w:w="3510" w:type="dxa"/>
          </w:tcPr>
          <w:p w14:paraId="2C6F7F36" w14:textId="72F7A246" w:rsidR="001534F2" w:rsidRPr="00D465D6" w:rsidRDefault="001534F2">
            <w:r w:rsidRPr="00D465D6">
              <w:rPr>
                <w:sz w:val="28"/>
                <w:szCs w:val="28"/>
                <w:cs/>
              </w:rPr>
              <w:t>6.  ข้อมูลเกี่ยวกับบุคคลที่เกี่ยวข้องกับ</w:t>
            </w:r>
            <w:r w:rsidRPr="00D465D6">
              <w:rPr>
                <w:sz w:val="28"/>
                <w:szCs w:val="28"/>
                <w:cs/>
              </w:rPr>
              <w:br/>
              <w:t>การดำเนินการของกองทุน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</w:p>
        </w:tc>
        <w:tc>
          <w:tcPr>
            <w:tcW w:w="5850" w:type="dxa"/>
          </w:tcPr>
          <w:p w14:paraId="29EEA504" w14:textId="2B6ACC2F" w:rsidR="001534F2" w:rsidRPr="00D465D6" w:rsidRDefault="001B1901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ให้แสดงข้อมูล</w:t>
            </w:r>
            <w:r w:rsidR="001534F2" w:rsidRPr="00D465D6">
              <w:rPr>
                <w:sz w:val="28"/>
                <w:szCs w:val="28"/>
                <w:cs/>
              </w:rPr>
              <w:t>อย่างน้อยดังนี้</w:t>
            </w:r>
          </w:p>
          <w:p w14:paraId="433D469F" w14:textId="7124090A" w:rsidR="001534F2" w:rsidRPr="00D465D6" w:rsidRDefault="001534F2" w:rsidP="001534F2">
            <w:pPr>
              <w:rPr>
                <w:sz w:val="28"/>
                <w:szCs w:val="28"/>
                <w:cs/>
              </w:rPr>
            </w:pPr>
            <w:r w:rsidRPr="00D465D6">
              <w:rPr>
                <w:sz w:val="28"/>
                <w:szCs w:val="28"/>
                <w:cs/>
              </w:rPr>
              <w:t>6.1  ข้อมูลเกี่ยวกับ บลจ. ซึ่งอย่างน้อยต้องมีรายชื่อกรรมการ กรรมการอิสระและผู้บริหาร จำนวนกองทุน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ทั้งหมดภายใต้การบริหารจัดการของ บลจ. และ</w:t>
            </w:r>
            <w:r w:rsidRPr="00D465D6">
              <w:rPr>
                <w:sz w:val="28"/>
                <w:szCs w:val="28"/>
              </w:rPr>
              <w:t xml:space="preserve"> NAV</w:t>
            </w:r>
            <w:r w:rsidR="00C72666" w:rsidRPr="00D465D6">
              <w:rPr>
                <w:sz w:val="28"/>
                <w:szCs w:val="28"/>
                <w:cs/>
              </w:rPr>
              <w:t xml:space="preserve"> ของกองทุนรวม</w:t>
            </w:r>
          </w:p>
          <w:p w14:paraId="20CB1622" w14:textId="77777777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>6.2  รายชื่อคณะกรรมการการลงทุน</w:t>
            </w:r>
          </w:p>
          <w:p w14:paraId="2A1CDE0F" w14:textId="5ED5DEDE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lastRenderedPageBreak/>
              <w:t>6.3  รายชื่อผู้จัดการกองทุน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 xml:space="preserve"> ประวัติการศึกษา และประสบการณ์การทำงานที่เกี่ยวข้องกับการบริหารจัดการกองทุน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 xml:space="preserve"> รวมทั้งหน้าที่ความรับผิดชอบของผู้จัดการกองทุน</w:t>
            </w:r>
            <w:r w:rsidR="00A4647D" w:rsidRPr="00D465D6">
              <w:rPr>
                <w:rFonts w:eastAsia="Calibri"/>
                <w:sz w:val="28"/>
                <w:szCs w:val="28"/>
                <w:cs/>
              </w:rPr>
              <w:t>รวม</w:t>
            </w:r>
            <w:r w:rsidRPr="00D465D6">
              <w:rPr>
                <w:sz w:val="28"/>
                <w:szCs w:val="28"/>
                <w:cs/>
              </w:rPr>
              <w:t>ดังกล่าว</w:t>
            </w:r>
          </w:p>
          <w:p w14:paraId="307FB8C5" w14:textId="32FB19D9" w:rsidR="001534F2" w:rsidRPr="00D465D6" w:rsidRDefault="001534F2" w:rsidP="001534F2">
            <w:pPr>
              <w:rPr>
                <w:sz w:val="28"/>
                <w:szCs w:val="28"/>
              </w:rPr>
            </w:pPr>
            <w:r w:rsidRPr="00D465D6">
              <w:rPr>
                <w:sz w:val="28"/>
                <w:szCs w:val="28"/>
                <w:cs/>
              </w:rPr>
              <w:t xml:space="preserve">6.4  รายชื่อผู้สนับสนุนการขายหรือรับซื้อคืนหน่วยลงทุน นายทะเบียนหน่วยลงทุนและผู้ดูแลผลประโยชน์  รวมทั้งต้องจัดให้มีข้อความว่า “นอกจากหน้าที่ตามที่กำหนดไว้ในสัญญาแต่งตั้ง ผู้ดูแลผลประโยชน์ยังมีหน้าที่ตามกฎหมายในการรักษาประโยชน์ของผู้ถือหน่วยลงทุนด้วย” </w:t>
            </w:r>
          </w:p>
          <w:p w14:paraId="4C6FFF07" w14:textId="4A84D6FB" w:rsidR="001534F2" w:rsidRPr="00D465D6" w:rsidRDefault="001534F2" w:rsidP="001534F2">
            <w:r w:rsidRPr="00D465D6">
              <w:rPr>
                <w:sz w:val="28"/>
                <w:szCs w:val="28"/>
                <w:cs/>
              </w:rPr>
              <w:t>6.5  รายชื่อผู้สอบบัญชี</w:t>
            </w:r>
            <w:r w:rsidR="00B85DE1" w:rsidRPr="00D465D6">
              <w:t xml:space="preserve"> </w:t>
            </w:r>
          </w:p>
        </w:tc>
      </w:tr>
      <w:tr w:rsidR="001534F2" w:rsidRPr="00AC71AC" w14:paraId="798259A1" w14:textId="77777777" w:rsidTr="003C29F1">
        <w:tc>
          <w:tcPr>
            <w:tcW w:w="3510" w:type="dxa"/>
          </w:tcPr>
          <w:p w14:paraId="728FB101" w14:textId="37CA49E6" w:rsidR="001534F2" w:rsidRPr="00D465D6" w:rsidRDefault="00DA7300">
            <w:pPr>
              <w:rPr>
                <w:cs/>
              </w:rPr>
            </w:pPr>
            <w:r w:rsidRPr="00D465D6">
              <w:rPr>
                <w:rFonts w:hint="cs"/>
                <w:sz w:val="28"/>
                <w:szCs w:val="28"/>
                <w:cs/>
              </w:rPr>
              <w:lastRenderedPageBreak/>
              <w:t>7</w:t>
            </w:r>
            <w:r w:rsidR="001534F2" w:rsidRPr="00D465D6">
              <w:rPr>
                <w:sz w:val="28"/>
                <w:szCs w:val="28"/>
                <w:cs/>
              </w:rPr>
              <w:t>.  ข้อมูลอื่น ๆ</w:t>
            </w:r>
          </w:p>
        </w:tc>
        <w:tc>
          <w:tcPr>
            <w:tcW w:w="5850" w:type="dxa"/>
          </w:tcPr>
          <w:p w14:paraId="0D866FF9" w14:textId="0AB10AC0" w:rsidR="001534F2" w:rsidRPr="00D465D6" w:rsidRDefault="002A0A99" w:rsidP="002A0A99">
            <w:pPr>
              <w:rPr>
                <w:rFonts w:eastAsia="Calibri"/>
                <w:sz w:val="28"/>
                <w:szCs w:val="28"/>
              </w:rPr>
            </w:pPr>
            <w:r w:rsidRPr="00D465D6">
              <w:rPr>
                <w:rFonts w:eastAsia="Calibri"/>
                <w:sz w:val="28"/>
                <w:szCs w:val="28"/>
                <w:cs/>
              </w:rPr>
              <w:t>ข้อมูลอื่นที่ บลจ. ประสงค์จ</w:t>
            </w:r>
            <w:r w:rsidR="00652EF8" w:rsidRPr="00D465D6">
              <w:rPr>
                <w:rFonts w:eastAsia="Calibri"/>
                <w:sz w:val="28"/>
                <w:szCs w:val="28"/>
                <w:cs/>
              </w:rPr>
              <w:t>ะ</w:t>
            </w:r>
            <w:r w:rsidRPr="00D465D6">
              <w:rPr>
                <w:rFonts w:eastAsia="Calibri"/>
                <w:sz w:val="28"/>
                <w:szCs w:val="28"/>
                <w:cs/>
              </w:rPr>
              <w:t>เปิดเผยเพิ่มเติม เพื่อประโยชน์ต่อการตัดสินใจลงทุนในหน่วยลงทุนของกองทุนรวม</w:t>
            </w:r>
          </w:p>
        </w:tc>
      </w:tr>
    </w:tbl>
    <w:p w14:paraId="36CF6908" w14:textId="50793707" w:rsidR="00F31F96" w:rsidRPr="00AC71AC" w:rsidRDefault="00F31F96"/>
    <w:sectPr w:rsidR="00F31F96" w:rsidRPr="00AC71AC" w:rsidSect="00373289">
      <w:headerReference w:type="default" r:id="rId10"/>
      <w:footerReference w:type="default" r:id="rId11"/>
      <w:footerReference w:type="first" r:id="rId12"/>
      <w:pgSz w:w="12240" w:h="15840"/>
      <w:pgMar w:top="27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B263" w14:textId="77777777" w:rsidR="00B346BE" w:rsidRDefault="00B346BE" w:rsidP="001534F2">
      <w:pPr>
        <w:spacing w:after="0" w:line="240" w:lineRule="auto"/>
      </w:pPr>
      <w:r>
        <w:separator/>
      </w:r>
    </w:p>
  </w:endnote>
  <w:endnote w:type="continuationSeparator" w:id="0">
    <w:p w14:paraId="71190FDA" w14:textId="77777777" w:rsidR="00B346BE" w:rsidRDefault="00B346BE" w:rsidP="0015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E07C" w14:textId="0AE3F453" w:rsidR="001534F2" w:rsidRDefault="00153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AE2F158" wp14:editId="7F5194E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4445"/>
              <wp:wrapSquare wrapText="bothSides"/>
              <wp:docPr id="3" name="Text Box 3" descr="SEC Classification : ใช้ภายใน (Internal)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AA497" w14:textId="4FD63ECE" w:rsidR="001534F2" w:rsidRPr="001534F2" w:rsidRDefault="001534F2">
                          <w:pPr>
                            <w:rPr>
                              <w:rFonts w:ascii="Tahoma" w:eastAsia="Tahoma" w:hAnsi="Tahoma" w:cs="Tahoma"/>
                              <w:color w:val="C0C0C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2F1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 Classification : ใช้ภายใน (Internal) " style="position:absolute;margin-left:0;margin-top:.05pt;width:34.95pt;height:34.95pt;z-index:2516541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22AA497" w14:textId="4FD63ECE" w:rsidR="001534F2" w:rsidRPr="001534F2" w:rsidRDefault="001534F2">
                    <w:pPr>
                      <w:rPr>
                        <w:rFonts w:ascii="Tahoma" w:eastAsia="Tahoma" w:hAnsi="Tahoma" w:cs="Tahoma"/>
                        <w:color w:val="C0C0C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F81E" w14:textId="596B77E8" w:rsidR="001534F2" w:rsidRDefault="00153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F2D6" w14:textId="77777777" w:rsidR="00B346BE" w:rsidRDefault="00B346BE" w:rsidP="001534F2">
      <w:pPr>
        <w:spacing w:after="0" w:line="240" w:lineRule="auto"/>
      </w:pPr>
      <w:r>
        <w:separator/>
      </w:r>
    </w:p>
  </w:footnote>
  <w:footnote w:type="continuationSeparator" w:id="0">
    <w:p w14:paraId="57AFF08E" w14:textId="77777777" w:rsidR="00B346BE" w:rsidRDefault="00B346BE" w:rsidP="001534F2">
      <w:pPr>
        <w:spacing w:after="0" w:line="240" w:lineRule="auto"/>
      </w:pPr>
      <w:r>
        <w:continuationSeparator/>
      </w:r>
    </w:p>
  </w:footnote>
  <w:footnote w:id="1">
    <w:p w14:paraId="347D6412" w14:textId="25BD44AE" w:rsidR="008B327C" w:rsidRPr="00592E92" w:rsidRDefault="008B327C" w:rsidP="00592E92">
      <w:pPr>
        <w:pStyle w:val="FootnoteText"/>
        <w:jc w:val="thaiDistribute"/>
        <w:rPr>
          <w:sz w:val="24"/>
          <w:szCs w:val="24"/>
        </w:rPr>
      </w:pPr>
      <w:r w:rsidRPr="00B23180">
        <w:rPr>
          <w:rStyle w:val="FootnoteReference"/>
          <w:sz w:val="24"/>
          <w:szCs w:val="24"/>
        </w:rPr>
        <w:sym w:font="Symbol" w:char="F039"/>
      </w:r>
      <w:r w:rsidRPr="00B23180">
        <w:rPr>
          <w:sz w:val="24"/>
          <w:szCs w:val="24"/>
        </w:rPr>
        <w:t xml:space="preserve"> </w:t>
      </w:r>
      <w:r w:rsidR="00B23180" w:rsidRPr="00B23180">
        <w:rPr>
          <w:sz w:val="24"/>
          <w:szCs w:val="24"/>
        </w:rPr>
        <w:t xml:space="preserve"> </w:t>
      </w:r>
      <w:r w:rsidRPr="00B23180">
        <w:rPr>
          <w:rFonts w:cs="TH SarabunPSK"/>
          <w:sz w:val="24"/>
          <w:szCs w:val="24"/>
          <w:cs/>
        </w:rPr>
        <w:t>แก้ไขเพิ่มเติม</w:t>
      </w:r>
      <w:r w:rsidRPr="00592E92">
        <w:rPr>
          <w:rFonts w:cs="TH SarabunPSK"/>
          <w:sz w:val="24"/>
          <w:szCs w:val="24"/>
          <w:cs/>
        </w:rPr>
        <w:t>โดยประกาศสำนักงานคณะกรรมการ ก.ล.ต. ที่ สน.</w:t>
      </w:r>
      <w:r w:rsidRPr="00592E92">
        <w:rPr>
          <w:rFonts w:cs="TH SarabunPSK"/>
          <w:sz w:val="24"/>
          <w:szCs w:val="24"/>
        </w:rPr>
        <w:t xml:space="preserve"> 49</w:t>
      </w:r>
      <w:r w:rsidRPr="00592E92">
        <w:rPr>
          <w:rFonts w:cs="TH SarabunPSK"/>
          <w:sz w:val="24"/>
          <w:szCs w:val="24"/>
          <w:cs/>
        </w:rPr>
        <w:t>/</w:t>
      </w:r>
      <w:r w:rsidRPr="00592E92">
        <w:rPr>
          <w:rFonts w:cs="TH SarabunPSK" w:hint="cs"/>
          <w:sz w:val="24"/>
          <w:szCs w:val="24"/>
          <w:cs/>
        </w:rPr>
        <w:t>2568</w:t>
      </w:r>
      <w:r w:rsidRPr="00592E92">
        <w:rPr>
          <w:rFonts w:cs="TH SarabunPSK"/>
          <w:sz w:val="24"/>
          <w:szCs w:val="24"/>
        </w:rPr>
        <w:t xml:space="preserve">  </w:t>
      </w:r>
      <w:r w:rsidRPr="00592E92">
        <w:rPr>
          <w:rFonts w:cs="TH SarabunPSK"/>
          <w:sz w:val="24"/>
          <w:szCs w:val="24"/>
          <w:cs/>
        </w:rPr>
        <w:t>เรื่อง หนังสือชี้ชวนเสนอขายหน่วยลงทุนของกองทุนรวม</w:t>
      </w:r>
      <w:r w:rsidRPr="00592E92">
        <w:rPr>
          <w:rFonts w:cs="TH SarabunPSK"/>
          <w:sz w:val="24"/>
          <w:szCs w:val="24"/>
          <w:cs/>
        </w:rPr>
        <w:br/>
        <w:t xml:space="preserve">เพื่อผู้ลงทุนทั่วไป กองทุนรวมเพื่อผู้ลงทุนที่มิใช่รายย่อย และกองทุนรวมเพื่อผู้ลงทุนประเภทสถาบัน (ฉบับที่ </w:t>
      </w:r>
      <w:r w:rsidRPr="00592E92">
        <w:rPr>
          <w:rFonts w:cs="TH SarabunPSK" w:hint="cs"/>
          <w:sz w:val="24"/>
          <w:szCs w:val="24"/>
          <w:cs/>
        </w:rPr>
        <w:t>10</w:t>
      </w:r>
      <w:r w:rsidRPr="00592E92">
        <w:rPr>
          <w:rFonts w:cs="TH SarabunPSK"/>
          <w:sz w:val="24"/>
          <w:szCs w:val="24"/>
          <w:cs/>
        </w:rPr>
        <w:t xml:space="preserve">) ลงวันที่ </w:t>
      </w:r>
      <w:r w:rsidRPr="00592E92">
        <w:rPr>
          <w:rFonts w:cs="TH SarabunPSK" w:hint="cs"/>
          <w:sz w:val="24"/>
          <w:szCs w:val="24"/>
          <w:cs/>
        </w:rPr>
        <w:t>11</w:t>
      </w:r>
      <w:r w:rsidRPr="00592E92">
        <w:rPr>
          <w:rFonts w:cs="TH SarabunPSK"/>
          <w:sz w:val="24"/>
          <w:szCs w:val="24"/>
          <w:cs/>
        </w:rPr>
        <w:t xml:space="preserve"> ธันวาคม พ.ศ. </w:t>
      </w:r>
      <w:r w:rsidRPr="00592E92">
        <w:rPr>
          <w:rFonts w:cs="TH SarabunPSK" w:hint="cs"/>
          <w:sz w:val="24"/>
          <w:szCs w:val="24"/>
          <w:cs/>
        </w:rPr>
        <w:t>2568</w:t>
      </w:r>
      <w:r w:rsidRPr="00592E92">
        <w:rPr>
          <w:rFonts w:cs="TH SarabunPSK"/>
          <w:sz w:val="24"/>
          <w:szCs w:val="24"/>
        </w:rPr>
        <w:t xml:space="preserve"> </w:t>
      </w:r>
      <w:r w:rsidRPr="00592E92">
        <w:rPr>
          <w:rFonts w:cs="TH SarabunPSK"/>
          <w:sz w:val="24"/>
          <w:szCs w:val="24"/>
          <w:cs/>
        </w:rPr>
        <w:br/>
        <w:t xml:space="preserve">(มีผลใช้บังคับเมื่อวันที่ </w:t>
      </w:r>
      <w:r w:rsidRPr="00592E92">
        <w:rPr>
          <w:rFonts w:cs="TH SarabunPSK" w:hint="cs"/>
          <w:sz w:val="24"/>
          <w:szCs w:val="24"/>
          <w:cs/>
        </w:rPr>
        <w:t>16</w:t>
      </w:r>
      <w:r w:rsidRPr="00592E92">
        <w:rPr>
          <w:rFonts w:cs="TH SarabunPSK"/>
          <w:sz w:val="24"/>
          <w:szCs w:val="24"/>
          <w:cs/>
        </w:rPr>
        <w:t xml:space="preserve"> มกราคม พ.ศ. </w:t>
      </w:r>
      <w:r w:rsidRPr="00592E92">
        <w:rPr>
          <w:rFonts w:cs="TH SarabunPSK" w:hint="cs"/>
          <w:sz w:val="24"/>
          <w:szCs w:val="24"/>
          <w:cs/>
        </w:rPr>
        <w:t>2569</w:t>
      </w:r>
      <w:r w:rsidRPr="00592E92">
        <w:rPr>
          <w:rFonts w:cs="TH SarabunPSK"/>
          <w:sz w:val="24"/>
          <w:szCs w:val="24"/>
          <w:cs/>
        </w:rPr>
        <w:t>)</w:t>
      </w:r>
    </w:p>
  </w:footnote>
  <w:footnote w:id="2">
    <w:p w14:paraId="68E59EAA" w14:textId="1A94B261" w:rsidR="001534F2" w:rsidRPr="00391FAF" w:rsidRDefault="001534F2" w:rsidP="00592E92">
      <w:pPr>
        <w:spacing w:after="0" w:line="240" w:lineRule="auto"/>
        <w:jc w:val="thaiDistribute"/>
        <w:rPr>
          <w:rFonts w:asciiTheme="majorBidi" w:hAnsiTheme="majorBidi" w:cstheme="majorBidi"/>
          <w:sz w:val="28"/>
          <w:szCs w:val="28"/>
        </w:rPr>
      </w:pPr>
      <w:r w:rsidRPr="00C768C0">
        <w:rPr>
          <w:rStyle w:val="FootnoteReference"/>
          <w:sz w:val="26"/>
          <w:szCs w:val="26"/>
        </w:rPr>
        <w:footnoteRef/>
      </w:r>
      <w:r w:rsidRPr="00592E92">
        <w:rPr>
          <w:sz w:val="24"/>
          <w:szCs w:val="24"/>
        </w:rPr>
        <w:t xml:space="preserve"> </w:t>
      </w:r>
      <w:r w:rsidR="00543F9D">
        <w:rPr>
          <w:sz w:val="24"/>
          <w:szCs w:val="24"/>
        </w:rPr>
        <w:t xml:space="preserve"> </w:t>
      </w:r>
      <w:r w:rsidR="00825AC0" w:rsidRPr="00592E92">
        <w:rPr>
          <w:sz w:val="24"/>
          <w:szCs w:val="24"/>
          <w:cs/>
        </w:rPr>
        <w:t>ให้แสดงข้อมูลปัจจัยความเสี่ยงที่เกี่ยวข้องกับกองทุน</w:t>
      </w:r>
      <w:r w:rsidR="00825AC0" w:rsidRPr="00592E92">
        <w:rPr>
          <w:rFonts w:eastAsia="Calibri"/>
          <w:sz w:val="24"/>
          <w:szCs w:val="24"/>
          <w:cs/>
        </w:rPr>
        <w:t>รวม</w:t>
      </w:r>
      <w:r w:rsidR="00825AC0" w:rsidRPr="00592E92">
        <w:rPr>
          <w:sz w:val="24"/>
          <w:szCs w:val="24"/>
          <w:cs/>
        </w:rPr>
        <w:t>นั้น ตลอดจนแนวทางการบริหารความเสี่ยงดังกล่าว</w:t>
      </w:r>
      <w:r w:rsidR="00825AC0" w:rsidRPr="00592E92">
        <w:rPr>
          <w:rFonts w:hint="cs"/>
          <w:sz w:val="24"/>
          <w:szCs w:val="24"/>
          <w:cs/>
        </w:rPr>
        <w:t xml:space="preserve"> </w:t>
      </w:r>
      <w:r w:rsidR="00825AC0" w:rsidRPr="00592E92">
        <w:rPr>
          <w:sz w:val="24"/>
          <w:szCs w:val="24"/>
          <w:cs/>
        </w:rPr>
        <w:t>โดยเรียงลำดับตามโอกาสที่อาจเกิดขึ้นแล</w:t>
      </w:r>
      <w:r w:rsidR="00825AC0" w:rsidRPr="00592E92">
        <w:rPr>
          <w:rFonts w:hint="cs"/>
          <w:sz w:val="24"/>
          <w:szCs w:val="24"/>
          <w:cs/>
        </w:rPr>
        <w:t>ะ</w:t>
      </w:r>
      <w:r w:rsidR="00825AC0" w:rsidRPr="00592E92">
        <w:rPr>
          <w:sz w:val="24"/>
          <w:szCs w:val="24"/>
          <w:cs/>
        </w:rPr>
        <w:t>นัยสำคัญของผลกระทบจากมากไปหาน้อย</w:t>
      </w:r>
    </w:p>
  </w:footnote>
  <w:footnote w:id="3">
    <w:p w14:paraId="5C7CBA1E" w14:textId="45D9928D" w:rsidR="001534F2" w:rsidRPr="00543F9D" w:rsidRDefault="001534F2" w:rsidP="001534F2">
      <w:pPr>
        <w:pStyle w:val="FootnoteText"/>
        <w:ind w:right="-540"/>
        <w:rPr>
          <w:rFonts w:cs="TH SarabunPSK"/>
          <w:sz w:val="24"/>
          <w:szCs w:val="24"/>
        </w:rPr>
      </w:pPr>
      <w:r w:rsidRPr="00B0605E">
        <w:rPr>
          <w:rStyle w:val="FootnoteReference"/>
          <w:rFonts w:cs="TH SarabunPSK"/>
          <w:sz w:val="26"/>
          <w:szCs w:val="26"/>
        </w:rPr>
        <w:footnoteRef/>
      </w:r>
      <w:r w:rsidRPr="00543F9D">
        <w:rPr>
          <w:rFonts w:cs="TH SarabunPSK"/>
          <w:sz w:val="24"/>
          <w:szCs w:val="24"/>
        </w:rPr>
        <w:t xml:space="preserve"> </w:t>
      </w:r>
      <w:r w:rsidR="00543F9D">
        <w:rPr>
          <w:rFonts w:cs="TH SarabunPSK"/>
          <w:sz w:val="24"/>
          <w:szCs w:val="24"/>
        </w:rPr>
        <w:t xml:space="preserve"> </w:t>
      </w:r>
      <w:r w:rsidRPr="00543F9D">
        <w:rPr>
          <w:rFonts w:cs="TH SarabunPSK"/>
          <w:sz w:val="24"/>
          <w:szCs w:val="24"/>
          <w:cs/>
        </w:rPr>
        <w:t>ไม่รวมถึงตราสารดังนี้</w:t>
      </w:r>
    </w:p>
    <w:p w14:paraId="37FCF90D" w14:textId="266AB820" w:rsidR="001534F2" w:rsidRPr="00543F9D" w:rsidRDefault="001534F2" w:rsidP="00543F9D">
      <w:pPr>
        <w:pStyle w:val="FootnoteText"/>
        <w:ind w:right="-540" w:firstLine="180"/>
        <w:rPr>
          <w:rFonts w:cs="TH SarabunPSK"/>
          <w:sz w:val="24"/>
          <w:szCs w:val="24"/>
        </w:rPr>
      </w:pPr>
      <w:r w:rsidRPr="00543F9D">
        <w:rPr>
          <w:rFonts w:cs="TH SarabunPSK"/>
          <w:sz w:val="24"/>
          <w:szCs w:val="24"/>
          <w:cs/>
        </w:rPr>
        <w:t xml:space="preserve">(1)  ตราสารภาครัฐไทย </w:t>
      </w:r>
    </w:p>
    <w:p w14:paraId="7EEB2DA1" w14:textId="489FC74F" w:rsidR="001534F2" w:rsidRPr="00543F9D" w:rsidRDefault="001534F2" w:rsidP="00543F9D">
      <w:pPr>
        <w:pStyle w:val="FootnoteText"/>
        <w:ind w:right="-540" w:firstLine="180"/>
        <w:rPr>
          <w:rFonts w:cs="TH SarabunPSK"/>
          <w:sz w:val="24"/>
          <w:szCs w:val="24"/>
        </w:rPr>
      </w:pPr>
      <w:r w:rsidRPr="00543F9D">
        <w:rPr>
          <w:rFonts w:cs="TH SarabunPSK"/>
          <w:sz w:val="24"/>
          <w:szCs w:val="24"/>
          <w:cs/>
        </w:rPr>
        <w:t>(2)  ตราสารภาครัฐต่างประเทศที่มีการจัดอันดับความน่าเชื่อถืออยู่ในอันดับที่สามารถลงทุนได้</w:t>
      </w:r>
    </w:p>
    <w:p w14:paraId="1F426563" w14:textId="1412F23A" w:rsidR="001534F2" w:rsidRPr="00543F9D" w:rsidRDefault="001534F2" w:rsidP="00543F9D">
      <w:pPr>
        <w:pStyle w:val="FootnoteText"/>
        <w:ind w:right="-540" w:firstLine="180"/>
        <w:rPr>
          <w:sz w:val="24"/>
          <w:szCs w:val="24"/>
          <w:cs/>
        </w:rPr>
      </w:pPr>
      <w:r w:rsidRPr="00543F9D">
        <w:rPr>
          <w:rFonts w:cs="TH SarabunPSK"/>
          <w:sz w:val="24"/>
          <w:szCs w:val="24"/>
          <w:cs/>
        </w:rPr>
        <w:t>(3)  เงินฝากหรือตราสารเทียบเท่าเงินฝากที่ผู้รับฝากหรือผู้ออกตราสารที่มีการจัดอันดับความน่าเชื่อถืออยู่ในอันดับที่สามารถลงทุนได้</w:t>
      </w:r>
    </w:p>
  </w:footnote>
  <w:footnote w:id="4">
    <w:p w14:paraId="609DB7C7" w14:textId="022BF7AE" w:rsidR="001534F2" w:rsidRPr="00920F01" w:rsidRDefault="001534F2" w:rsidP="006D10D9">
      <w:pPr>
        <w:pStyle w:val="FootnoteText"/>
        <w:ind w:right="-540"/>
        <w:jc w:val="thaiDistribute"/>
        <w:rPr>
          <w:rFonts w:cs="TH SarabunPSK"/>
          <w:sz w:val="24"/>
          <w:szCs w:val="24"/>
          <w:cs/>
        </w:rPr>
      </w:pPr>
      <w:r w:rsidRPr="00B0605E">
        <w:rPr>
          <w:rStyle w:val="FootnoteReference"/>
          <w:rFonts w:cs="TH SarabunPSK"/>
          <w:sz w:val="26"/>
          <w:szCs w:val="26"/>
        </w:rPr>
        <w:footnoteRef/>
      </w:r>
      <w:r w:rsidRPr="00920F01">
        <w:rPr>
          <w:rFonts w:cs="TH SarabunPSK"/>
          <w:sz w:val="24"/>
          <w:szCs w:val="24"/>
        </w:rPr>
        <w:t xml:space="preserve"> </w:t>
      </w:r>
      <w:r w:rsidR="006D10D9" w:rsidRPr="00920F01">
        <w:rPr>
          <w:rFonts w:cs="TH SarabunPSK"/>
          <w:sz w:val="24"/>
          <w:szCs w:val="24"/>
        </w:rPr>
        <w:t xml:space="preserve"> </w:t>
      </w:r>
      <w:r w:rsidRPr="00920F01">
        <w:rPr>
          <w:rFonts w:cs="TH SarabunPSK"/>
          <w:sz w:val="24"/>
          <w:szCs w:val="24"/>
          <w:cs/>
        </w:rPr>
        <w:t xml:space="preserve">ให้พิจารณาตามที่ </w:t>
      </w:r>
      <w:r w:rsidRPr="00920F01">
        <w:rPr>
          <w:rFonts w:cs="TH SarabunPSK"/>
          <w:sz w:val="24"/>
          <w:szCs w:val="24"/>
        </w:rPr>
        <w:t xml:space="preserve">SET </w:t>
      </w:r>
      <w:r w:rsidRPr="00920F01">
        <w:rPr>
          <w:rFonts w:cs="TH SarabunPSK"/>
          <w:sz w:val="24"/>
          <w:szCs w:val="24"/>
          <w:cs/>
        </w:rPr>
        <w:t>หรือตลาดซื้อขายหลักทรัพย์ต่างประเทศกำหนด</w:t>
      </w:r>
    </w:p>
  </w:footnote>
  <w:footnote w:id="5">
    <w:p w14:paraId="39F1B857" w14:textId="3A439C00" w:rsidR="00691682" w:rsidRPr="00920F01" w:rsidRDefault="00691682" w:rsidP="006D10D9">
      <w:pPr>
        <w:pStyle w:val="FootnoteText"/>
        <w:jc w:val="thaiDistribute"/>
        <w:rPr>
          <w:rFonts w:cs="TH SarabunPSK"/>
          <w:sz w:val="24"/>
          <w:szCs w:val="24"/>
        </w:rPr>
      </w:pPr>
      <w:r w:rsidRPr="00B0605E">
        <w:rPr>
          <w:rStyle w:val="FootnoteReference"/>
          <w:rFonts w:cs="TH SarabunPSK"/>
          <w:sz w:val="26"/>
          <w:szCs w:val="26"/>
        </w:rPr>
        <w:footnoteRef/>
      </w:r>
      <w:r w:rsidRPr="00920F01">
        <w:rPr>
          <w:rFonts w:cs="TH SarabunPSK"/>
          <w:sz w:val="24"/>
          <w:szCs w:val="24"/>
        </w:rPr>
        <w:t xml:space="preserve"> </w:t>
      </w:r>
      <w:r w:rsidR="006D10D9" w:rsidRPr="00920F01">
        <w:rPr>
          <w:rFonts w:cs="TH SarabunPSK"/>
          <w:sz w:val="24"/>
          <w:szCs w:val="24"/>
        </w:rPr>
        <w:t xml:space="preserve"> </w:t>
      </w:r>
      <w:r w:rsidRPr="00920F01">
        <w:rPr>
          <w:rFonts w:cs="TH SarabunPSK"/>
          <w:sz w:val="24"/>
          <w:szCs w:val="24"/>
        </w:rPr>
        <w:t>“</w:t>
      </w:r>
      <w:r w:rsidRPr="00920F01">
        <w:rPr>
          <w:rFonts w:cs="TH SarabunPSK"/>
          <w:sz w:val="24"/>
          <w:szCs w:val="24"/>
          <w:cs/>
        </w:rPr>
        <w:t xml:space="preserve">หน่วยของกองทรัพย์สินที่เกี่ยวข้องกับโครงสร้างพื้นฐาน” </w:t>
      </w:r>
      <w:r w:rsidR="00C01EF3" w:rsidRPr="00920F01">
        <w:rPr>
          <w:rFonts w:cs="TH SarabunPSK" w:hint="cs"/>
          <w:sz w:val="24"/>
          <w:szCs w:val="24"/>
          <w:cs/>
        </w:rPr>
        <w:t xml:space="preserve"> </w:t>
      </w:r>
      <w:r w:rsidRPr="00920F01">
        <w:rPr>
          <w:rFonts w:cs="TH SarabunPSK"/>
          <w:sz w:val="24"/>
          <w:szCs w:val="24"/>
          <w:cs/>
        </w:rPr>
        <w:t xml:space="preserve">หมายความว่า </w:t>
      </w:r>
      <w:r w:rsidR="00C01EF3" w:rsidRPr="00920F01">
        <w:rPr>
          <w:rFonts w:cs="TH SarabunPSK" w:hint="cs"/>
          <w:sz w:val="24"/>
          <w:szCs w:val="24"/>
          <w:cs/>
        </w:rPr>
        <w:t xml:space="preserve"> </w:t>
      </w:r>
      <w:r w:rsidR="006D10D9" w:rsidRPr="00920F01">
        <w:rPr>
          <w:rFonts w:cs="TH SarabunPSK" w:hint="cs"/>
          <w:sz w:val="24"/>
          <w:szCs w:val="24"/>
          <w:cs/>
        </w:rPr>
        <w:t xml:space="preserve"> </w:t>
      </w:r>
      <w:r w:rsidRPr="00920F01">
        <w:rPr>
          <w:rFonts w:cs="TH SarabunPSK"/>
          <w:sz w:val="24"/>
          <w:szCs w:val="24"/>
          <w:cs/>
        </w:rPr>
        <w:t>หน่วยของกองทรัพย์สินที่เกี่ยวข้องกับโครงสร้างพื้นฐาน</w:t>
      </w:r>
      <w:r w:rsidR="00920F01">
        <w:rPr>
          <w:rFonts w:cs="TH SarabunPSK"/>
          <w:sz w:val="24"/>
          <w:szCs w:val="24"/>
          <w:cs/>
        </w:rPr>
        <w:br/>
      </w:r>
      <w:r w:rsidRPr="00920F01">
        <w:rPr>
          <w:rFonts w:cs="TH SarabunPSK"/>
          <w:sz w:val="24"/>
          <w:szCs w:val="24"/>
          <w:cs/>
        </w:rPr>
        <w:t>ซึ่งอยู่ในรูปแบบอย่างใดอย่างหนึ่งดังนี้</w:t>
      </w:r>
    </w:p>
    <w:p w14:paraId="676E7CDC" w14:textId="56156D03" w:rsidR="00691682" w:rsidRPr="00920F01" w:rsidRDefault="00691682" w:rsidP="00C01EF3">
      <w:pPr>
        <w:pStyle w:val="FootnoteText"/>
        <w:ind w:firstLine="180"/>
        <w:jc w:val="thaiDistribute"/>
        <w:rPr>
          <w:rFonts w:cs="TH SarabunPSK"/>
          <w:sz w:val="24"/>
          <w:szCs w:val="24"/>
        </w:rPr>
      </w:pPr>
      <w:r w:rsidRPr="00920F01">
        <w:rPr>
          <w:rFonts w:cs="TH SarabunPSK"/>
          <w:sz w:val="24"/>
          <w:szCs w:val="24"/>
          <w:cs/>
        </w:rPr>
        <w:t>(1)  กองทุนโครงสร้างพื้นฐานที่จัดตั้งขึ้นตามกฎหมายว่าด้วยหลักทรัพย์และตลาดหลักทรัพย์ หรือตามกฎหมายว่าด้วย</w:t>
      </w:r>
      <w:proofErr w:type="spellStart"/>
      <w:r w:rsidRPr="00920F01">
        <w:rPr>
          <w:rFonts w:cs="TH SarabunPSK"/>
          <w:sz w:val="24"/>
          <w:szCs w:val="24"/>
          <w:cs/>
        </w:rPr>
        <w:t>ทรั</w:t>
      </w:r>
      <w:proofErr w:type="spellEnd"/>
      <w:r w:rsidRPr="00920F01">
        <w:rPr>
          <w:rFonts w:cs="TH SarabunPSK"/>
          <w:sz w:val="24"/>
          <w:szCs w:val="24"/>
          <w:cs/>
        </w:rPr>
        <w:t>สต์เพื่อธุรกรรมในตลาดทุน</w:t>
      </w:r>
    </w:p>
    <w:p w14:paraId="16416BFE" w14:textId="43C9DD58" w:rsidR="00691682" w:rsidRPr="00920F01" w:rsidRDefault="00691682" w:rsidP="00C01EF3">
      <w:pPr>
        <w:pStyle w:val="FootnoteText"/>
        <w:ind w:firstLine="180"/>
        <w:jc w:val="thaiDistribute"/>
        <w:rPr>
          <w:rFonts w:cs="TH SarabunPSK"/>
          <w:sz w:val="18"/>
          <w:szCs w:val="24"/>
          <w:cs/>
        </w:rPr>
      </w:pPr>
      <w:r w:rsidRPr="00920F01">
        <w:rPr>
          <w:rFonts w:cs="TH SarabunPSK"/>
          <w:sz w:val="24"/>
          <w:szCs w:val="24"/>
          <w:cs/>
        </w:rPr>
        <w:t xml:space="preserve">(2)  กองทุนโครงสร้างพื้นฐานต่างประเทศที่จัดตั้งขึ้นตามกฎหมายต่างประเทศซึ่งมีวัตถุประสงค์หลักในการลงทุนในลักษณะทำนองเดียวกับกองทุนโครงสร้างพื้นฐานตาม 4.1.2.1 (2) ทั้งนี้ ไม่ว่าจะจัดตั้งในรูปบริษัท </w:t>
      </w:r>
      <w:proofErr w:type="spellStart"/>
      <w:r w:rsidRPr="00920F01">
        <w:rPr>
          <w:rFonts w:cs="TH SarabunPSK"/>
          <w:sz w:val="24"/>
          <w:szCs w:val="24"/>
          <w:cs/>
        </w:rPr>
        <w:t>ทรั</w:t>
      </w:r>
      <w:proofErr w:type="spellEnd"/>
      <w:r w:rsidRPr="00920F01">
        <w:rPr>
          <w:rFonts w:cs="TH SarabunPSK"/>
          <w:sz w:val="24"/>
          <w:szCs w:val="24"/>
          <w:cs/>
        </w:rPr>
        <w:t>สต์ หรือรูปอื่นใด</w:t>
      </w:r>
    </w:p>
  </w:footnote>
  <w:footnote w:id="6">
    <w:p w14:paraId="3C4A724B" w14:textId="123CA7F3" w:rsidR="00691682" w:rsidRPr="00920F01" w:rsidRDefault="00691682" w:rsidP="006D10D9">
      <w:pPr>
        <w:pStyle w:val="FootnoteText"/>
        <w:jc w:val="thaiDistribute"/>
        <w:rPr>
          <w:rFonts w:cs="TH SarabunPSK"/>
          <w:sz w:val="24"/>
          <w:szCs w:val="24"/>
        </w:rPr>
      </w:pPr>
      <w:r w:rsidRPr="00B0605E">
        <w:rPr>
          <w:rStyle w:val="FootnoteReference"/>
          <w:rFonts w:cs="TH SarabunPSK"/>
          <w:sz w:val="26"/>
          <w:szCs w:val="26"/>
        </w:rPr>
        <w:footnoteRef/>
      </w:r>
      <w:r w:rsidRPr="00920F01">
        <w:rPr>
          <w:rFonts w:cs="TH SarabunPSK"/>
          <w:sz w:val="24"/>
          <w:szCs w:val="24"/>
        </w:rPr>
        <w:t xml:space="preserve"> “</w:t>
      </w:r>
      <w:r w:rsidRPr="00920F01">
        <w:rPr>
          <w:rFonts w:cs="TH SarabunPSK"/>
          <w:sz w:val="24"/>
          <w:szCs w:val="24"/>
          <w:cs/>
        </w:rPr>
        <w:t>หน่วยของกองทรัพย์สินที่เกี่ยวข้องกับอสังหาริมทรัพย์”  หมายความว่า   หน่วยของกองทรัพย์สินที่เกี่ยวข้องกับอสังหาริมทรัพย์ซึ่งอยู่ในรูปแบบอย่างใดอย่างหนึ่งดังนี้</w:t>
      </w:r>
    </w:p>
    <w:p w14:paraId="0F0F71E1" w14:textId="7D36E59C" w:rsidR="00691682" w:rsidRPr="00920F01" w:rsidRDefault="00691682" w:rsidP="00C01EF3">
      <w:pPr>
        <w:pStyle w:val="FootnoteText"/>
        <w:ind w:firstLine="180"/>
        <w:jc w:val="thaiDistribute"/>
        <w:rPr>
          <w:rFonts w:cs="TH SarabunPSK"/>
          <w:sz w:val="24"/>
          <w:szCs w:val="24"/>
        </w:rPr>
      </w:pPr>
      <w:r w:rsidRPr="00920F01">
        <w:rPr>
          <w:rFonts w:cs="TH SarabunPSK"/>
          <w:sz w:val="24"/>
          <w:szCs w:val="24"/>
          <w:cs/>
        </w:rPr>
        <w:t>(1)  กองทุนรวมอสังหาริมทรัพย์ที่อยู่ภายใต้บังคับประกาศคณะกรรมการกำกับตลาดทุนว่าด้วยหลักเกณฑ์การจัดการกองทุนรวมอสังหาริมทรัพย์</w:t>
      </w:r>
    </w:p>
    <w:p w14:paraId="5E9074EA" w14:textId="629E51FD" w:rsidR="00691682" w:rsidRPr="00920F01" w:rsidRDefault="00691682" w:rsidP="00C01EF3">
      <w:pPr>
        <w:pStyle w:val="FootnoteText"/>
        <w:ind w:firstLine="180"/>
        <w:jc w:val="thaiDistribute"/>
        <w:rPr>
          <w:rFonts w:cs="TH SarabunPSK"/>
          <w:sz w:val="24"/>
          <w:szCs w:val="24"/>
        </w:rPr>
      </w:pPr>
      <w:r w:rsidRPr="00920F01">
        <w:rPr>
          <w:rFonts w:cs="TH SarabunPSK"/>
          <w:sz w:val="24"/>
          <w:szCs w:val="24"/>
          <w:cs/>
        </w:rPr>
        <w:t xml:space="preserve">(2)  </w:t>
      </w:r>
      <w:proofErr w:type="spellStart"/>
      <w:r w:rsidRPr="00920F01">
        <w:rPr>
          <w:rFonts w:cs="TH SarabunPSK"/>
          <w:sz w:val="24"/>
          <w:szCs w:val="24"/>
          <w:cs/>
        </w:rPr>
        <w:t>ทรั</w:t>
      </w:r>
      <w:proofErr w:type="spellEnd"/>
      <w:r w:rsidRPr="00920F01">
        <w:rPr>
          <w:rFonts w:cs="TH SarabunPSK"/>
          <w:sz w:val="24"/>
          <w:szCs w:val="24"/>
          <w:cs/>
        </w:rPr>
        <w:t>สต์เพื่อการลงทุนในอสังหาริมทรัพย์ที่จัดตั้งขึ้นตามกฎหมายว่าด้วย</w:t>
      </w:r>
      <w:proofErr w:type="spellStart"/>
      <w:r w:rsidRPr="00920F01">
        <w:rPr>
          <w:rFonts w:cs="TH SarabunPSK"/>
          <w:sz w:val="24"/>
          <w:szCs w:val="24"/>
          <w:cs/>
        </w:rPr>
        <w:t>ทรั</w:t>
      </w:r>
      <w:proofErr w:type="spellEnd"/>
      <w:r w:rsidRPr="00920F01">
        <w:rPr>
          <w:rFonts w:cs="TH SarabunPSK"/>
          <w:sz w:val="24"/>
          <w:szCs w:val="24"/>
          <w:cs/>
        </w:rPr>
        <w:t>สต์เพื่อธุรกรรมในตลาดทุน</w:t>
      </w:r>
    </w:p>
    <w:p w14:paraId="548F8DF4" w14:textId="3E137F38" w:rsidR="00691682" w:rsidRPr="00AC71AC" w:rsidRDefault="00691682" w:rsidP="00C01EF3">
      <w:pPr>
        <w:pStyle w:val="FootnoteText"/>
        <w:ind w:firstLine="180"/>
        <w:jc w:val="thaiDistribute"/>
        <w:rPr>
          <w:rFonts w:cs="TH SarabunPSK"/>
          <w:sz w:val="28"/>
          <w:szCs w:val="28"/>
          <w:cs/>
        </w:rPr>
      </w:pPr>
      <w:r w:rsidRPr="00920F01">
        <w:rPr>
          <w:rFonts w:cs="TH SarabunPSK"/>
          <w:sz w:val="24"/>
          <w:szCs w:val="24"/>
          <w:cs/>
        </w:rPr>
        <w:t>(</w:t>
      </w:r>
      <w:r w:rsidRPr="00920F01">
        <w:rPr>
          <w:rFonts w:cs="TH SarabunPSK"/>
          <w:sz w:val="24"/>
          <w:szCs w:val="24"/>
        </w:rPr>
        <w:t>3</w:t>
      </w:r>
      <w:r w:rsidRPr="00920F01">
        <w:rPr>
          <w:rFonts w:cs="TH SarabunPSK"/>
          <w:sz w:val="24"/>
          <w:szCs w:val="24"/>
          <w:cs/>
        </w:rPr>
        <w:t>)  กอง</w:t>
      </w:r>
      <w:proofErr w:type="spellStart"/>
      <w:r w:rsidRPr="00920F01">
        <w:rPr>
          <w:rFonts w:cs="TH SarabunPSK"/>
          <w:sz w:val="24"/>
          <w:szCs w:val="24"/>
          <w:cs/>
        </w:rPr>
        <w:t>ทรั</w:t>
      </w:r>
      <w:proofErr w:type="spellEnd"/>
      <w:r w:rsidRPr="00920F01">
        <w:rPr>
          <w:rFonts w:cs="TH SarabunPSK"/>
          <w:sz w:val="24"/>
          <w:szCs w:val="24"/>
          <w:cs/>
        </w:rPr>
        <w:t>สต์หรือกองอสังหาริมทรัพย์ที่จัดตั้งขึ้นตามกฎหมายต่างประเทศซึ่งมีวัตถุประสงค์หลักในการลงทุนในอสังหาริมทรัพย์หรือในกิจการ</w:t>
      </w:r>
      <w:r w:rsidR="00A12F72">
        <w:rPr>
          <w:rFonts w:cs="TH SarabunPSK"/>
          <w:sz w:val="24"/>
          <w:szCs w:val="24"/>
          <w:cs/>
        </w:rPr>
        <w:br/>
      </w:r>
      <w:r w:rsidRPr="00920F01">
        <w:rPr>
          <w:rFonts w:cs="TH SarabunPSK"/>
          <w:sz w:val="24"/>
          <w:szCs w:val="24"/>
          <w:cs/>
        </w:rPr>
        <w:t>ที่ประกอบธุรกิจอสังหาริมทรัพย์</w:t>
      </w:r>
      <w:r w:rsidR="00E2164B" w:rsidRPr="00920F01">
        <w:rPr>
          <w:rFonts w:cs="TH SarabunPSK" w:hint="cs"/>
          <w:sz w:val="24"/>
          <w:szCs w:val="24"/>
          <w:cs/>
        </w:rPr>
        <w:t xml:space="preserve">  </w:t>
      </w:r>
      <w:r w:rsidRPr="00920F01">
        <w:rPr>
          <w:rFonts w:cs="TH SarabunPSK"/>
          <w:sz w:val="24"/>
          <w:szCs w:val="24"/>
          <w:cs/>
        </w:rPr>
        <w:t xml:space="preserve">ทั้งนี้ ไม่ว่าจะจัดตั้งในรูปบริษัท </w:t>
      </w:r>
      <w:proofErr w:type="spellStart"/>
      <w:r w:rsidRPr="00920F01">
        <w:rPr>
          <w:rFonts w:cs="TH SarabunPSK"/>
          <w:sz w:val="24"/>
          <w:szCs w:val="24"/>
          <w:cs/>
        </w:rPr>
        <w:t>ทรั</w:t>
      </w:r>
      <w:proofErr w:type="spellEnd"/>
      <w:r w:rsidRPr="00920F01">
        <w:rPr>
          <w:rFonts w:cs="TH SarabunPSK"/>
          <w:sz w:val="24"/>
          <w:szCs w:val="24"/>
          <w:cs/>
        </w:rPr>
        <w:t>สต์ หรือรูปอื่นใด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H SarabunPSK"/>
        <w:sz w:val="28"/>
        <w:szCs w:val="28"/>
      </w:rPr>
      <w:id w:val="10555093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CC3286" w14:textId="397D8570" w:rsidR="001534F2" w:rsidRPr="00E97A3C" w:rsidRDefault="001534F2">
        <w:pPr>
          <w:pStyle w:val="Header"/>
          <w:jc w:val="center"/>
          <w:rPr>
            <w:rFonts w:cs="TH SarabunPSK"/>
            <w:sz w:val="28"/>
            <w:szCs w:val="28"/>
          </w:rPr>
        </w:pPr>
        <w:r w:rsidRPr="00E97A3C">
          <w:rPr>
            <w:rFonts w:cs="TH SarabunPSK"/>
            <w:sz w:val="28"/>
            <w:szCs w:val="28"/>
          </w:rPr>
          <w:fldChar w:fldCharType="begin"/>
        </w:r>
        <w:r w:rsidRPr="00E97A3C">
          <w:rPr>
            <w:rFonts w:cs="TH SarabunPSK"/>
            <w:sz w:val="28"/>
            <w:szCs w:val="28"/>
          </w:rPr>
          <w:instrText xml:space="preserve"> PAGE   \* MERGEFORMAT </w:instrText>
        </w:r>
        <w:r w:rsidRPr="00E97A3C">
          <w:rPr>
            <w:rFonts w:cs="TH SarabunPSK"/>
            <w:sz w:val="28"/>
            <w:szCs w:val="28"/>
          </w:rPr>
          <w:fldChar w:fldCharType="separate"/>
        </w:r>
        <w:r w:rsidRPr="00E97A3C">
          <w:rPr>
            <w:rFonts w:cs="TH SarabunPSK"/>
            <w:noProof/>
            <w:sz w:val="28"/>
            <w:szCs w:val="28"/>
          </w:rPr>
          <w:t>2</w:t>
        </w:r>
        <w:r w:rsidRPr="00E97A3C">
          <w:rPr>
            <w:rFonts w:cs="TH SarabunPSK"/>
            <w:noProof/>
            <w:sz w:val="28"/>
            <w:szCs w:val="28"/>
          </w:rPr>
          <w:fldChar w:fldCharType="end"/>
        </w:r>
      </w:p>
    </w:sdtContent>
  </w:sdt>
  <w:p w14:paraId="3B2A64BB" w14:textId="77777777" w:rsidR="001534F2" w:rsidRDefault="00153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F2"/>
    <w:rsid w:val="00012D2F"/>
    <w:rsid w:val="00033655"/>
    <w:rsid w:val="0004330F"/>
    <w:rsid w:val="00045ABA"/>
    <w:rsid w:val="0006072C"/>
    <w:rsid w:val="00070869"/>
    <w:rsid w:val="00080D0B"/>
    <w:rsid w:val="000A41B7"/>
    <w:rsid w:val="000B27ED"/>
    <w:rsid w:val="000B2DC7"/>
    <w:rsid w:val="000B67CE"/>
    <w:rsid w:val="000C507F"/>
    <w:rsid w:val="000C5CB3"/>
    <w:rsid w:val="000D45F0"/>
    <w:rsid w:val="000D7568"/>
    <w:rsid w:val="000E1F02"/>
    <w:rsid w:val="000F3761"/>
    <w:rsid w:val="0010029E"/>
    <w:rsid w:val="00105A6F"/>
    <w:rsid w:val="0012416C"/>
    <w:rsid w:val="00133754"/>
    <w:rsid w:val="00137E4D"/>
    <w:rsid w:val="001400C5"/>
    <w:rsid w:val="00142704"/>
    <w:rsid w:val="001516C7"/>
    <w:rsid w:val="00151F30"/>
    <w:rsid w:val="001534F2"/>
    <w:rsid w:val="00155D3C"/>
    <w:rsid w:val="00162825"/>
    <w:rsid w:val="00166155"/>
    <w:rsid w:val="00175764"/>
    <w:rsid w:val="00180C1E"/>
    <w:rsid w:val="001823AC"/>
    <w:rsid w:val="00185250"/>
    <w:rsid w:val="001A1FAB"/>
    <w:rsid w:val="001A4E3F"/>
    <w:rsid w:val="001B1901"/>
    <w:rsid w:val="001C1835"/>
    <w:rsid w:val="001C6FC9"/>
    <w:rsid w:val="001E1F42"/>
    <w:rsid w:val="002123B5"/>
    <w:rsid w:val="00226E38"/>
    <w:rsid w:val="0023006A"/>
    <w:rsid w:val="0023031A"/>
    <w:rsid w:val="002403D7"/>
    <w:rsid w:val="002465AD"/>
    <w:rsid w:val="00261B08"/>
    <w:rsid w:val="00270A77"/>
    <w:rsid w:val="00274076"/>
    <w:rsid w:val="00276F8D"/>
    <w:rsid w:val="002974F3"/>
    <w:rsid w:val="002A0A99"/>
    <w:rsid w:val="002B2C27"/>
    <w:rsid w:val="002B6AC2"/>
    <w:rsid w:val="002C7D0A"/>
    <w:rsid w:val="002D1336"/>
    <w:rsid w:val="002F54F0"/>
    <w:rsid w:val="003168C4"/>
    <w:rsid w:val="003601D2"/>
    <w:rsid w:val="00373289"/>
    <w:rsid w:val="003A102B"/>
    <w:rsid w:val="003A7605"/>
    <w:rsid w:val="003B3F62"/>
    <w:rsid w:val="003C29F1"/>
    <w:rsid w:val="003C7C55"/>
    <w:rsid w:val="003E6E6B"/>
    <w:rsid w:val="003E73B7"/>
    <w:rsid w:val="003F175A"/>
    <w:rsid w:val="003F478D"/>
    <w:rsid w:val="0041039C"/>
    <w:rsid w:val="00412D9B"/>
    <w:rsid w:val="00432122"/>
    <w:rsid w:val="00435026"/>
    <w:rsid w:val="004370B2"/>
    <w:rsid w:val="004440F9"/>
    <w:rsid w:val="00447E1C"/>
    <w:rsid w:val="00467A58"/>
    <w:rsid w:val="00474333"/>
    <w:rsid w:val="004861B0"/>
    <w:rsid w:val="004872D4"/>
    <w:rsid w:val="004912A2"/>
    <w:rsid w:val="00491B61"/>
    <w:rsid w:val="004A3A93"/>
    <w:rsid w:val="004C2B45"/>
    <w:rsid w:val="004E2C81"/>
    <w:rsid w:val="004F11E6"/>
    <w:rsid w:val="004F1BEF"/>
    <w:rsid w:val="00505062"/>
    <w:rsid w:val="005075BA"/>
    <w:rsid w:val="00514264"/>
    <w:rsid w:val="00520F9F"/>
    <w:rsid w:val="0053257C"/>
    <w:rsid w:val="00543F9D"/>
    <w:rsid w:val="005462DA"/>
    <w:rsid w:val="005577BB"/>
    <w:rsid w:val="00560206"/>
    <w:rsid w:val="00562D28"/>
    <w:rsid w:val="00584CB5"/>
    <w:rsid w:val="00592D5C"/>
    <w:rsid w:val="00592E92"/>
    <w:rsid w:val="005A04C4"/>
    <w:rsid w:val="005A7FF7"/>
    <w:rsid w:val="005B6D39"/>
    <w:rsid w:val="005D7620"/>
    <w:rsid w:val="005E00D0"/>
    <w:rsid w:val="005E03B8"/>
    <w:rsid w:val="005E52B0"/>
    <w:rsid w:val="005F49C4"/>
    <w:rsid w:val="00601802"/>
    <w:rsid w:val="00606DA7"/>
    <w:rsid w:val="00623AF4"/>
    <w:rsid w:val="00636B57"/>
    <w:rsid w:val="00652EF8"/>
    <w:rsid w:val="00663C41"/>
    <w:rsid w:val="006706AE"/>
    <w:rsid w:val="006805C5"/>
    <w:rsid w:val="00684446"/>
    <w:rsid w:val="00691682"/>
    <w:rsid w:val="00693847"/>
    <w:rsid w:val="006B3D84"/>
    <w:rsid w:val="006B6BE8"/>
    <w:rsid w:val="006C387C"/>
    <w:rsid w:val="006C4185"/>
    <w:rsid w:val="006D10D9"/>
    <w:rsid w:val="006D64E1"/>
    <w:rsid w:val="006E7DFC"/>
    <w:rsid w:val="006F3591"/>
    <w:rsid w:val="006F6449"/>
    <w:rsid w:val="007014DA"/>
    <w:rsid w:val="00702DB5"/>
    <w:rsid w:val="00703404"/>
    <w:rsid w:val="00711B0E"/>
    <w:rsid w:val="00724661"/>
    <w:rsid w:val="00734C08"/>
    <w:rsid w:val="00735127"/>
    <w:rsid w:val="00740BC2"/>
    <w:rsid w:val="00756485"/>
    <w:rsid w:val="00756EBF"/>
    <w:rsid w:val="007804DD"/>
    <w:rsid w:val="00793963"/>
    <w:rsid w:val="007944DF"/>
    <w:rsid w:val="007A0856"/>
    <w:rsid w:val="007C5C8B"/>
    <w:rsid w:val="007D3CB6"/>
    <w:rsid w:val="007E2039"/>
    <w:rsid w:val="00821B4D"/>
    <w:rsid w:val="00823EAD"/>
    <w:rsid w:val="00825AC0"/>
    <w:rsid w:val="008302DD"/>
    <w:rsid w:val="00844F14"/>
    <w:rsid w:val="0085201A"/>
    <w:rsid w:val="00857F3F"/>
    <w:rsid w:val="00860D42"/>
    <w:rsid w:val="008818A5"/>
    <w:rsid w:val="00896E24"/>
    <w:rsid w:val="00897FD8"/>
    <w:rsid w:val="008B0D0E"/>
    <w:rsid w:val="008B327C"/>
    <w:rsid w:val="008D19C8"/>
    <w:rsid w:val="008E35F9"/>
    <w:rsid w:val="008E3CCA"/>
    <w:rsid w:val="008F7ACF"/>
    <w:rsid w:val="00917A93"/>
    <w:rsid w:val="00920F01"/>
    <w:rsid w:val="00921826"/>
    <w:rsid w:val="00923E5D"/>
    <w:rsid w:val="00926CFF"/>
    <w:rsid w:val="009321C5"/>
    <w:rsid w:val="00944C76"/>
    <w:rsid w:val="009503E0"/>
    <w:rsid w:val="00954762"/>
    <w:rsid w:val="00956479"/>
    <w:rsid w:val="00966081"/>
    <w:rsid w:val="009803D7"/>
    <w:rsid w:val="00990C2B"/>
    <w:rsid w:val="009A011B"/>
    <w:rsid w:val="009A5D23"/>
    <w:rsid w:val="009C4D99"/>
    <w:rsid w:val="009D0437"/>
    <w:rsid w:val="009D0B08"/>
    <w:rsid w:val="009D21A3"/>
    <w:rsid w:val="009D4A5F"/>
    <w:rsid w:val="009E08B1"/>
    <w:rsid w:val="009E0FA9"/>
    <w:rsid w:val="009F2A57"/>
    <w:rsid w:val="00A00C53"/>
    <w:rsid w:val="00A02915"/>
    <w:rsid w:val="00A05DA2"/>
    <w:rsid w:val="00A0654D"/>
    <w:rsid w:val="00A12F4B"/>
    <w:rsid w:val="00A12F72"/>
    <w:rsid w:val="00A26421"/>
    <w:rsid w:val="00A351D0"/>
    <w:rsid w:val="00A4647D"/>
    <w:rsid w:val="00A467D3"/>
    <w:rsid w:val="00A60D19"/>
    <w:rsid w:val="00A62122"/>
    <w:rsid w:val="00A64131"/>
    <w:rsid w:val="00A659DA"/>
    <w:rsid w:val="00A66B76"/>
    <w:rsid w:val="00A81FA3"/>
    <w:rsid w:val="00AB5F45"/>
    <w:rsid w:val="00AC0A48"/>
    <w:rsid w:val="00AC1113"/>
    <w:rsid w:val="00AC71AC"/>
    <w:rsid w:val="00AE2375"/>
    <w:rsid w:val="00AE725F"/>
    <w:rsid w:val="00AF04C3"/>
    <w:rsid w:val="00B04F30"/>
    <w:rsid w:val="00B0605E"/>
    <w:rsid w:val="00B10AB6"/>
    <w:rsid w:val="00B130B1"/>
    <w:rsid w:val="00B23180"/>
    <w:rsid w:val="00B33212"/>
    <w:rsid w:val="00B346BE"/>
    <w:rsid w:val="00B61BA0"/>
    <w:rsid w:val="00B65380"/>
    <w:rsid w:val="00B75B27"/>
    <w:rsid w:val="00B77253"/>
    <w:rsid w:val="00B80041"/>
    <w:rsid w:val="00B85DE1"/>
    <w:rsid w:val="00B97AD4"/>
    <w:rsid w:val="00BB0C37"/>
    <w:rsid w:val="00BB1110"/>
    <w:rsid w:val="00BB42E4"/>
    <w:rsid w:val="00BB6644"/>
    <w:rsid w:val="00BC0CEF"/>
    <w:rsid w:val="00BC32B2"/>
    <w:rsid w:val="00BC526F"/>
    <w:rsid w:val="00BD1ED3"/>
    <w:rsid w:val="00C0176A"/>
    <w:rsid w:val="00C01EF3"/>
    <w:rsid w:val="00C06B4D"/>
    <w:rsid w:val="00C10422"/>
    <w:rsid w:val="00C232E3"/>
    <w:rsid w:val="00C258BB"/>
    <w:rsid w:val="00C27831"/>
    <w:rsid w:val="00C47BBB"/>
    <w:rsid w:val="00C54441"/>
    <w:rsid w:val="00C64F28"/>
    <w:rsid w:val="00C66DC5"/>
    <w:rsid w:val="00C72666"/>
    <w:rsid w:val="00C75A8D"/>
    <w:rsid w:val="00C768C0"/>
    <w:rsid w:val="00C8353F"/>
    <w:rsid w:val="00CA5793"/>
    <w:rsid w:val="00CB73D6"/>
    <w:rsid w:val="00CB7FA9"/>
    <w:rsid w:val="00CC2F58"/>
    <w:rsid w:val="00CC69F8"/>
    <w:rsid w:val="00CE50F3"/>
    <w:rsid w:val="00CE6DAB"/>
    <w:rsid w:val="00CF2185"/>
    <w:rsid w:val="00CF322E"/>
    <w:rsid w:val="00D07461"/>
    <w:rsid w:val="00D465D6"/>
    <w:rsid w:val="00D527C3"/>
    <w:rsid w:val="00D540D8"/>
    <w:rsid w:val="00D56A9F"/>
    <w:rsid w:val="00D56E49"/>
    <w:rsid w:val="00D6334F"/>
    <w:rsid w:val="00D701B3"/>
    <w:rsid w:val="00D77E15"/>
    <w:rsid w:val="00DA7300"/>
    <w:rsid w:val="00DB03D1"/>
    <w:rsid w:val="00DB595F"/>
    <w:rsid w:val="00DB679F"/>
    <w:rsid w:val="00DC6C38"/>
    <w:rsid w:val="00DD3E52"/>
    <w:rsid w:val="00DE663E"/>
    <w:rsid w:val="00DF5F50"/>
    <w:rsid w:val="00E03012"/>
    <w:rsid w:val="00E064AA"/>
    <w:rsid w:val="00E2164B"/>
    <w:rsid w:val="00E222A1"/>
    <w:rsid w:val="00E25664"/>
    <w:rsid w:val="00E26855"/>
    <w:rsid w:val="00E354FD"/>
    <w:rsid w:val="00E41E4D"/>
    <w:rsid w:val="00E4204A"/>
    <w:rsid w:val="00E43670"/>
    <w:rsid w:val="00E5352C"/>
    <w:rsid w:val="00E6664A"/>
    <w:rsid w:val="00E864C1"/>
    <w:rsid w:val="00E9025B"/>
    <w:rsid w:val="00E91B78"/>
    <w:rsid w:val="00E97A3C"/>
    <w:rsid w:val="00EA101F"/>
    <w:rsid w:val="00EB2830"/>
    <w:rsid w:val="00EC7515"/>
    <w:rsid w:val="00ED100F"/>
    <w:rsid w:val="00ED4350"/>
    <w:rsid w:val="00ED754C"/>
    <w:rsid w:val="00EE2ABA"/>
    <w:rsid w:val="00EF029C"/>
    <w:rsid w:val="00F10AF3"/>
    <w:rsid w:val="00F20C5F"/>
    <w:rsid w:val="00F31F96"/>
    <w:rsid w:val="00F361D3"/>
    <w:rsid w:val="00F402DC"/>
    <w:rsid w:val="00F44A7C"/>
    <w:rsid w:val="00F52E12"/>
    <w:rsid w:val="00F54BE6"/>
    <w:rsid w:val="00F62D1D"/>
    <w:rsid w:val="00F73DFE"/>
    <w:rsid w:val="00F86E95"/>
    <w:rsid w:val="00F91621"/>
    <w:rsid w:val="00FA23A0"/>
    <w:rsid w:val="00FA57DC"/>
    <w:rsid w:val="00FA6A8C"/>
    <w:rsid w:val="00FB234B"/>
    <w:rsid w:val="00FB24AF"/>
    <w:rsid w:val="00FB3ED1"/>
    <w:rsid w:val="00FB6224"/>
    <w:rsid w:val="00FC1C63"/>
    <w:rsid w:val="00FC5D99"/>
    <w:rsid w:val="00FD1E9B"/>
    <w:rsid w:val="00FD2582"/>
    <w:rsid w:val="00FD2E8B"/>
    <w:rsid w:val="00FF278F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005E8"/>
  <w15:chartTrackingRefBased/>
  <w15:docId w15:val="{19326662-2FF9-4995-B929-8B4E652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4F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534F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34F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534F2"/>
    <w:rPr>
      <w:rFonts w:cs="Angsana New"/>
      <w:szCs w:val="40"/>
    </w:rPr>
  </w:style>
  <w:style w:type="character" w:styleId="CommentReference">
    <w:name w:val="annotation reference"/>
    <w:aliases w:val="อ้างอิงคำอธิบายประกอบ"/>
    <w:basedOn w:val="DefaultParagraphFont"/>
    <w:uiPriority w:val="99"/>
    <w:unhideWhenUsed/>
    <w:rsid w:val="001534F2"/>
    <w:rPr>
      <w:sz w:val="16"/>
      <w:szCs w:val="16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uiPriority w:val="99"/>
    <w:unhideWhenUsed/>
    <w:rsid w:val="001534F2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basedOn w:val="DefaultParagraphFont"/>
    <w:link w:val="CommentText"/>
    <w:uiPriority w:val="99"/>
    <w:rsid w:val="001534F2"/>
    <w:rPr>
      <w:rFonts w:cs="Angsana New"/>
      <w:sz w:val="20"/>
      <w:szCs w:val="25"/>
    </w:rPr>
  </w:style>
  <w:style w:type="table" w:styleId="TableGrid">
    <w:name w:val="Table Grid"/>
    <w:basedOn w:val="TableNormal"/>
    <w:uiPriority w:val="39"/>
    <w:rsid w:val="0015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534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534F2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34F2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61"/>
    <w:rPr>
      <w:rFonts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A351D0"/>
    <w:pPr>
      <w:spacing w:after="0" w:line="240" w:lineRule="auto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9" ma:contentTypeDescription="Create a new document." ma:contentTypeScope="" ma:versionID="c86104558d99ccca13b6e4a18b790b95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f5b70fb76b4b18b53d1d56817e034b3a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72F8-4942-4F60-B863-E29B9D54EB70}"/>
</file>

<file path=customXml/itemProps2.xml><?xml version="1.0" encoding="utf-8"?>
<ds:datastoreItem xmlns:ds="http://schemas.openxmlformats.org/officeDocument/2006/customXml" ds:itemID="{B0424DD8-9751-4228-B8C2-20F071388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D2E61-C3CB-4994-A325-2590D4ECD704}">
  <ds:schemaRefs>
    <ds:schemaRef ds:uri="http://schemas.microsoft.com/office/2006/metadata/properties"/>
    <ds:schemaRef ds:uri="http://schemas.microsoft.com/office/infopath/2007/PartnerControls"/>
    <ds:schemaRef ds:uri="53acb739-ec32-481f-ab5f-9fd588471b87"/>
    <ds:schemaRef ds:uri="725530eb-42f7-44ad-a070-1c779cdbe00f"/>
  </ds:schemaRefs>
</ds:datastoreItem>
</file>

<file path=customXml/itemProps4.xml><?xml version="1.0" encoding="utf-8"?>
<ds:datastoreItem xmlns:ds="http://schemas.openxmlformats.org/officeDocument/2006/customXml" ds:itemID="{6A56FB5E-EDF6-4AB3-B520-34B0D01F4C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1562</Words>
  <Characters>6999</Characters>
  <Application>Microsoft Office Word</Application>
  <DocSecurity>0</DocSecurity>
  <Lines>124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Suparat Chandrachoti sanglek</dc:creator>
  <cp:keywords/>
  <dc:description/>
  <cp:lastModifiedBy>Atthawit Kaweegitbundit</cp:lastModifiedBy>
  <cp:revision>11</cp:revision>
  <dcterms:created xsi:type="dcterms:W3CDTF">2025-12-17T04:44:00Z</dcterms:created>
  <dcterms:modified xsi:type="dcterms:W3CDTF">2025-12-17T08:25:00Z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0x0101006852D20922A4FE44AF5F0891B658F2E2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2021-12-16T06:10:33Z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dde41011-7a08-441d-8e6a-8228e6316dc6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