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9A65" w14:textId="77777777" w:rsidR="007359A4" w:rsidRDefault="007359A4" w:rsidP="00F16519">
      <w:pPr>
        <w:widowControl/>
        <w:jc w:val="center"/>
      </w:pPr>
    </w:p>
    <w:p w14:paraId="2B0C1F64" w14:textId="08C72769" w:rsidR="009F128A" w:rsidRPr="000219BA" w:rsidRDefault="009F128A" w:rsidP="00F16519">
      <w:pPr>
        <w:widowControl/>
        <w:jc w:val="center"/>
        <w:rPr>
          <w:cs/>
        </w:rPr>
      </w:pPr>
      <w:r w:rsidRPr="000219BA">
        <w:rPr>
          <w:cs/>
        </w:rPr>
        <w:t>ประกาศคณะกรรมการกำกับหลักทรัพย์และตลาดหลักทรัพย์</w:t>
      </w:r>
    </w:p>
    <w:p w14:paraId="0B1D1A4B" w14:textId="0E1A6DD7" w:rsidR="009F128A" w:rsidRPr="000219BA" w:rsidRDefault="009F128A" w:rsidP="00F16519">
      <w:pPr>
        <w:widowControl/>
        <w:jc w:val="center"/>
        <w:rPr>
          <w:cs/>
        </w:rPr>
      </w:pPr>
      <w:r w:rsidRPr="000219BA">
        <w:rPr>
          <w:cs/>
        </w:rPr>
        <w:t>ที่</w:t>
      </w:r>
      <w:bookmarkStart w:id="0" w:name="bookmark2"/>
      <w:r w:rsidRPr="000219BA">
        <w:rPr>
          <w:cs/>
        </w:rPr>
        <w:t xml:space="preserve"> </w:t>
      </w:r>
      <w:bookmarkEnd w:id="0"/>
      <w:r w:rsidR="00AC7C1E">
        <w:rPr>
          <w:rFonts w:hint="cs"/>
          <w:cs/>
        </w:rPr>
        <w:t>ก</w:t>
      </w:r>
      <w:r w:rsidR="00A745D0">
        <w:rPr>
          <w:rFonts w:hint="cs"/>
          <w:cs/>
        </w:rPr>
        <w:t>จ</w:t>
      </w:r>
      <w:r w:rsidRPr="000219BA">
        <w:rPr>
          <w:cs/>
        </w:rPr>
        <w:t>.</w:t>
      </w:r>
      <w:r w:rsidR="004E01F1" w:rsidRPr="000219BA">
        <w:rPr>
          <w:cs/>
        </w:rPr>
        <w:t xml:space="preserve"> </w:t>
      </w:r>
      <w:r w:rsidR="00DE2D1E">
        <w:rPr>
          <w:rFonts w:hint="cs"/>
          <w:cs/>
        </w:rPr>
        <w:t>11</w:t>
      </w:r>
      <w:r w:rsidRPr="000219BA">
        <w:rPr>
          <w:cs/>
        </w:rPr>
        <w:t>/256</w:t>
      </w:r>
      <w:r w:rsidR="00AC7C1E">
        <w:rPr>
          <w:rFonts w:hint="cs"/>
          <w:cs/>
        </w:rPr>
        <w:t>5</w:t>
      </w:r>
    </w:p>
    <w:p w14:paraId="0FB180BF" w14:textId="350FB151" w:rsidR="001D718B" w:rsidRDefault="009F128A" w:rsidP="00F16519">
      <w:pPr>
        <w:widowControl/>
        <w:jc w:val="center"/>
      </w:pPr>
      <w:r w:rsidRPr="000219BA">
        <w:rPr>
          <w:cs/>
        </w:rPr>
        <w:t xml:space="preserve">เรื่อง  </w:t>
      </w:r>
      <w:r w:rsidR="001D718B" w:rsidRPr="001D718B">
        <w:rPr>
          <w:cs/>
        </w:rPr>
        <w:t>การเสนอขายโทเคนดิจิทัลต่อประชาชน</w:t>
      </w:r>
    </w:p>
    <w:p w14:paraId="0E82C657" w14:textId="0B10AA7D" w:rsidR="009F128A" w:rsidRPr="000219BA" w:rsidRDefault="009F128A" w:rsidP="00F16519">
      <w:pPr>
        <w:widowControl/>
        <w:jc w:val="center"/>
        <w:rPr>
          <w:cs/>
        </w:rPr>
      </w:pPr>
      <w:r w:rsidRPr="000219BA">
        <w:rPr>
          <w:cs/>
        </w:rPr>
        <w:t xml:space="preserve">(ฉบับที่ </w:t>
      </w:r>
      <w:r w:rsidR="00DE2D1E">
        <w:rPr>
          <w:rFonts w:hint="cs"/>
          <w:cs/>
        </w:rPr>
        <w:t>6</w:t>
      </w:r>
      <w:r w:rsidRPr="000219BA">
        <w:rPr>
          <w:cs/>
        </w:rPr>
        <w:t>)</w:t>
      </w:r>
    </w:p>
    <w:p w14:paraId="5D0414B6" w14:textId="77777777" w:rsidR="004E01F1" w:rsidRPr="000219BA" w:rsidRDefault="004E01F1" w:rsidP="00F16519">
      <w:pPr>
        <w:jc w:val="center"/>
      </w:pPr>
      <w:r w:rsidRPr="000219BA">
        <w:t>__________________</w:t>
      </w:r>
    </w:p>
    <w:p w14:paraId="16684C7E" w14:textId="21A2B457" w:rsidR="009F128A" w:rsidRPr="000219BA" w:rsidRDefault="00606F00" w:rsidP="00FB1D80">
      <w:pPr>
        <w:spacing w:before="240"/>
        <w:ind w:right="-187" w:firstLine="1440"/>
      </w:pPr>
      <w:r w:rsidRPr="00FD36F4">
        <w:rPr>
          <w:rFonts w:hint="cs"/>
          <w:spacing w:val="-4"/>
          <w:cs/>
        </w:rPr>
        <w:t>อาศัยอำนาจ</w:t>
      </w:r>
      <w:r w:rsidRPr="008A34FF">
        <w:rPr>
          <w:rFonts w:hint="cs"/>
          <w:spacing w:val="-4"/>
          <w:cs/>
        </w:rPr>
        <w:t xml:space="preserve">ตามความในมาตรา </w:t>
      </w:r>
      <w:r w:rsidRPr="008A34FF">
        <w:t>10</w:t>
      </w:r>
      <w:r w:rsidRPr="008A34FF">
        <w:rPr>
          <w:cs/>
        </w:rPr>
        <w:t>(</w:t>
      </w:r>
      <w:r w:rsidRPr="008A34FF">
        <w:t>1</w:t>
      </w:r>
      <w:r w:rsidRPr="008A34FF">
        <w:rPr>
          <w:cs/>
        </w:rPr>
        <w:t>)</w:t>
      </w:r>
      <w:r w:rsidRPr="008A34FF">
        <w:rPr>
          <w:rFonts w:hint="cs"/>
          <w:spacing w:val="-4"/>
          <w:cs/>
        </w:rPr>
        <w:t xml:space="preserve"> มาตรา </w:t>
      </w:r>
      <w:r w:rsidRPr="008A34FF">
        <w:t>17</w:t>
      </w:r>
      <w:r w:rsidRPr="008A34FF">
        <w:rPr>
          <w:rFonts w:hint="cs"/>
          <w:spacing w:val="-4"/>
          <w:cs/>
        </w:rPr>
        <w:t xml:space="preserve"> </w:t>
      </w:r>
      <w:r w:rsidR="008A34FF" w:rsidRPr="008A34FF">
        <w:rPr>
          <w:rFonts w:hint="cs"/>
          <w:spacing w:val="-4"/>
          <w:cs/>
        </w:rPr>
        <w:t>และ</w:t>
      </w:r>
      <w:r w:rsidRPr="008A34FF">
        <w:rPr>
          <w:rFonts w:hint="cs"/>
          <w:spacing w:val="-4"/>
          <w:cs/>
        </w:rPr>
        <w:t xml:space="preserve">มาตรา </w:t>
      </w:r>
      <w:r w:rsidRPr="008A34FF">
        <w:t>18</w:t>
      </w:r>
      <w:r w:rsidRPr="008A34FF">
        <w:rPr>
          <w:rFonts w:hint="cs"/>
          <w:spacing w:val="-4"/>
          <w:cs/>
        </w:rPr>
        <w:t xml:space="preserve"> แห่ง</w:t>
      </w:r>
      <w:r w:rsidRPr="00FD36F4">
        <w:rPr>
          <w:rFonts w:hint="cs"/>
          <w:spacing w:val="-4"/>
          <w:cs/>
        </w:rPr>
        <w:t>พระราชกำหนด</w:t>
      </w:r>
      <w:r w:rsidR="008A34FF">
        <w:rPr>
          <w:spacing w:val="-4"/>
          <w:cs/>
        </w:rPr>
        <w:br/>
      </w:r>
      <w:r w:rsidRPr="00FD36F4">
        <w:rPr>
          <w:rFonts w:hint="cs"/>
          <w:spacing w:val="-4"/>
          <w:cs/>
        </w:rPr>
        <w:t>การ</w:t>
      </w:r>
      <w:r w:rsidRPr="00FD36F4">
        <w:rPr>
          <w:rFonts w:hint="cs"/>
          <w:cs/>
        </w:rPr>
        <w:t>ประกอบธุรกิจ</w:t>
      </w:r>
      <w:r w:rsidRPr="00FD36F4">
        <w:rPr>
          <w:rFonts w:hint="cs"/>
          <w:spacing w:val="-4"/>
          <w:cs/>
        </w:rPr>
        <w:t xml:space="preserve">สินทรัพย์ดิจิทัล พ.ศ. </w:t>
      </w:r>
      <w:r w:rsidRPr="00FD36F4">
        <w:t>2561</w:t>
      </w:r>
      <w:r w:rsidRPr="00FD36F4">
        <w:rPr>
          <w:rFonts w:hint="cs"/>
          <w:spacing w:val="-4"/>
          <w:cs/>
        </w:rPr>
        <w:t xml:space="preserve">  </w:t>
      </w:r>
      <w:r w:rsidRPr="00FD36F4">
        <w:rPr>
          <w:rFonts w:hint="cs"/>
          <w:cs/>
        </w:rPr>
        <w:t>คณะกรรมการกำกับหลักทรัพย์และตลาดหลักทรัพย์</w:t>
      </w:r>
      <w:r w:rsidR="0019727D">
        <w:rPr>
          <w:cs/>
        </w:rPr>
        <w:br/>
      </w:r>
      <w:r w:rsidRPr="00FD36F4">
        <w:rPr>
          <w:rFonts w:hint="cs"/>
          <w:cs/>
        </w:rPr>
        <w:t>ออกประกาศไว้ดังต่อไปนี้</w:t>
      </w:r>
    </w:p>
    <w:p w14:paraId="5B940507" w14:textId="6ADC9DED" w:rsidR="0000123E" w:rsidRPr="00857BF4" w:rsidRDefault="004E01F1" w:rsidP="00FB1D80">
      <w:pPr>
        <w:spacing w:before="240"/>
        <w:ind w:right="-45"/>
      </w:pPr>
      <w:r w:rsidRPr="000219BA">
        <w:rPr>
          <w:cs/>
        </w:rPr>
        <w:tab/>
      </w:r>
      <w:r w:rsidRPr="000219BA">
        <w:rPr>
          <w:cs/>
        </w:rPr>
        <w:tab/>
      </w:r>
      <w:r w:rsidRPr="00857BF4">
        <w:rPr>
          <w:cs/>
        </w:rPr>
        <w:t xml:space="preserve">ข้อ </w:t>
      </w:r>
      <w:r w:rsidR="00904298" w:rsidRPr="00857BF4">
        <w:rPr>
          <w:cs/>
        </w:rPr>
        <w:t>1</w:t>
      </w:r>
      <w:r w:rsidRPr="00857BF4">
        <w:rPr>
          <w:cs/>
        </w:rPr>
        <w:t xml:space="preserve">   </w:t>
      </w:r>
      <w:r w:rsidR="008A34FF" w:rsidRPr="00857BF4">
        <w:rPr>
          <w:rFonts w:hint="cs"/>
          <w:cs/>
        </w:rPr>
        <w:t xml:space="preserve">ให้ยกเลิกบทนิยามคำว่า “นิติบุคคลร่วมลงทุน” </w:t>
      </w:r>
      <w:r w:rsidR="00AD0733" w:rsidRPr="00857BF4">
        <w:t xml:space="preserve">(venture capital) </w:t>
      </w:r>
      <w:r w:rsidR="008A34FF" w:rsidRPr="00857BF4">
        <w:rPr>
          <w:rFonts w:hint="cs"/>
          <w:cs/>
        </w:rPr>
        <w:t xml:space="preserve">และ “กิจการเงินร่วมลงทุน” </w:t>
      </w:r>
      <w:r w:rsidR="00AD0733" w:rsidRPr="00857BF4">
        <w:t xml:space="preserve">(private equity) </w:t>
      </w:r>
      <w:r w:rsidR="008A34FF" w:rsidRPr="00857BF4">
        <w:rPr>
          <w:rFonts w:hint="cs"/>
          <w:cs/>
        </w:rPr>
        <w:t xml:space="preserve">ในข้อ 2 </w:t>
      </w:r>
      <w:bookmarkStart w:id="1" w:name="_Hlk95829916"/>
      <w:r w:rsidR="008A34FF" w:rsidRPr="00857BF4">
        <w:rPr>
          <w:cs/>
        </w:rPr>
        <w:t>แห่งประกาศคณะกรรมการกำกับหลักทรัพย์</w:t>
      </w:r>
      <w:r w:rsidR="00857BF4" w:rsidRPr="00857BF4">
        <w:rPr>
          <w:cs/>
        </w:rPr>
        <w:br/>
      </w:r>
      <w:r w:rsidR="008A34FF" w:rsidRPr="00857BF4">
        <w:rPr>
          <w:cs/>
        </w:rPr>
        <w:t xml:space="preserve">และตลาดหลักทรัพย์ ที่ </w:t>
      </w:r>
      <w:r w:rsidR="008A34FF" w:rsidRPr="00857BF4">
        <w:rPr>
          <w:rFonts w:hint="cs"/>
          <w:cs/>
        </w:rPr>
        <w:t>กจ</w:t>
      </w:r>
      <w:r w:rsidR="008A34FF" w:rsidRPr="00857BF4">
        <w:rPr>
          <w:cs/>
        </w:rPr>
        <w:t xml:space="preserve">. </w:t>
      </w:r>
      <w:r w:rsidR="008A34FF" w:rsidRPr="00857BF4">
        <w:rPr>
          <w:rFonts w:hint="cs"/>
          <w:cs/>
        </w:rPr>
        <w:t>15</w:t>
      </w:r>
      <w:r w:rsidR="008A34FF" w:rsidRPr="00857BF4">
        <w:rPr>
          <w:cs/>
        </w:rPr>
        <w:t>/25</w:t>
      </w:r>
      <w:r w:rsidR="008A34FF" w:rsidRPr="00857BF4">
        <w:rPr>
          <w:rFonts w:hint="cs"/>
          <w:cs/>
        </w:rPr>
        <w:t>61</w:t>
      </w:r>
      <w:r w:rsidR="008A34FF" w:rsidRPr="00857BF4">
        <w:rPr>
          <w:cs/>
        </w:rPr>
        <w:t xml:space="preserve">  เรื่อง การเสนอขายโทเคนดิจิทัลต่อประชาชน ลงวันที่ </w:t>
      </w:r>
      <w:r w:rsidR="00857BF4">
        <w:rPr>
          <w:cs/>
        </w:rPr>
        <w:br/>
      </w:r>
      <w:r w:rsidR="008A34FF" w:rsidRPr="00857BF4">
        <w:rPr>
          <w:rFonts w:hint="cs"/>
          <w:cs/>
        </w:rPr>
        <w:t>3</w:t>
      </w:r>
      <w:r w:rsidR="008A34FF" w:rsidRPr="00857BF4">
        <w:rPr>
          <w:cs/>
        </w:rPr>
        <w:t xml:space="preserve"> </w:t>
      </w:r>
      <w:r w:rsidR="008A34FF" w:rsidRPr="00857BF4">
        <w:rPr>
          <w:rFonts w:hint="cs"/>
          <w:cs/>
        </w:rPr>
        <w:t>กรกฎาคม</w:t>
      </w:r>
      <w:r w:rsidR="008A34FF" w:rsidRPr="00857BF4">
        <w:rPr>
          <w:cs/>
        </w:rPr>
        <w:t xml:space="preserve"> พ.ศ. 25</w:t>
      </w:r>
      <w:r w:rsidR="008A34FF" w:rsidRPr="00857BF4">
        <w:rPr>
          <w:rFonts w:hint="cs"/>
          <w:cs/>
        </w:rPr>
        <w:t>6</w:t>
      </w:r>
      <w:bookmarkEnd w:id="1"/>
      <w:r w:rsidR="00AD0733" w:rsidRPr="00857BF4">
        <w:t>1</w:t>
      </w:r>
    </w:p>
    <w:p w14:paraId="52797ADA" w14:textId="4795A010" w:rsidR="008A34FF" w:rsidRPr="00857BF4" w:rsidRDefault="008A34FF" w:rsidP="00FB1D80">
      <w:pPr>
        <w:spacing w:before="240"/>
        <w:ind w:right="-45"/>
      </w:pPr>
      <w:r>
        <w:rPr>
          <w:cs/>
        </w:rPr>
        <w:tab/>
      </w:r>
      <w:r>
        <w:rPr>
          <w:cs/>
        </w:rPr>
        <w:tab/>
      </w:r>
      <w:r w:rsidRPr="00857BF4">
        <w:rPr>
          <w:rFonts w:hint="cs"/>
          <w:cs/>
        </w:rPr>
        <w:t>ข้อ 2   ให้ยกเลิกความใน (3) ของ</w:t>
      </w:r>
      <w:r w:rsidR="00EA4B2A" w:rsidRPr="00857BF4">
        <w:rPr>
          <w:rFonts w:hint="cs"/>
          <w:cs/>
        </w:rPr>
        <w:t>วรรคหนึ่งใน</w:t>
      </w:r>
      <w:r w:rsidRPr="00857BF4">
        <w:rPr>
          <w:rFonts w:hint="cs"/>
          <w:cs/>
        </w:rPr>
        <w:t xml:space="preserve">ข้อ 17 </w:t>
      </w:r>
      <w:r w:rsidRPr="00857BF4">
        <w:rPr>
          <w:cs/>
        </w:rPr>
        <w:t>แห่งประกาศคณะกรรมการ</w:t>
      </w:r>
      <w:r w:rsidR="008529B4" w:rsidRPr="00857BF4">
        <w:rPr>
          <w:cs/>
        </w:rPr>
        <w:br/>
      </w:r>
      <w:r w:rsidRPr="00857BF4">
        <w:rPr>
          <w:cs/>
        </w:rPr>
        <w:t xml:space="preserve">กำกับหลักทรัพย์และตลาดหลักทรัพย์ ที่ กจ. 15/2561  เรื่อง การเสนอขายโทเคนดิจิทัลต่อประชาชน </w:t>
      </w:r>
      <w:r w:rsidR="008529B4" w:rsidRPr="00857BF4">
        <w:rPr>
          <w:cs/>
        </w:rPr>
        <w:br/>
      </w:r>
      <w:r w:rsidRPr="00857BF4">
        <w:rPr>
          <w:cs/>
        </w:rPr>
        <w:t>ลงวันที่ 3 กรกฎาคม พ.ศ. 2561</w:t>
      </w:r>
      <w:r w:rsidR="00E272DA" w:rsidRPr="00857BF4">
        <w:t xml:space="preserve">  </w:t>
      </w:r>
      <w:r w:rsidR="00FD6BE4" w:rsidRPr="00857BF4">
        <w:rPr>
          <w:rFonts w:hint="cs"/>
          <w:cs/>
        </w:rPr>
        <w:t>และให้ใช้ความต่อไปนี้แทน</w:t>
      </w:r>
    </w:p>
    <w:p w14:paraId="5E0A84AD" w14:textId="69F70A99" w:rsidR="008A34FF" w:rsidRDefault="008A34FF" w:rsidP="00F16519">
      <w:pPr>
        <w:ind w:right="-46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“</w:t>
      </w:r>
      <w:r>
        <w:rPr>
          <w:cs/>
        </w:rPr>
        <w:t>(</w:t>
      </w:r>
      <w:r>
        <w:rPr>
          <w:rFonts w:hint="cs"/>
          <w:cs/>
        </w:rPr>
        <w:t>3</w:t>
      </w:r>
      <w:r>
        <w:rPr>
          <w:cs/>
        </w:rPr>
        <w:t xml:space="preserve">)  </w:t>
      </w:r>
      <w:r w:rsidRPr="00FD36F4">
        <w:rPr>
          <w:rFonts w:hint="cs"/>
          <w:cs/>
        </w:rPr>
        <w:t xml:space="preserve">เป็นการเสนอขายต่อผู้ลงทุนที่เข้าลักษณะใดลักษณะหนึ่งดังนี้ </w:t>
      </w:r>
    </w:p>
    <w:p w14:paraId="4D797523" w14:textId="2CA3794C" w:rsidR="008A34FF" w:rsidRDefault="008A34FF" w:rsidP="00857BF4">
      <w:pPr>
        <w:ind w:right="-46" w:firstLine="1980"/>
      </w:pPr>
      <w:r>
        <w:rPr>
          <w:rFonts w:hint="cs"/>
          <w:cs/>
        </w:rPr>
        <w:t xml:space="preserve">(ก)  </w:t>
      </w:r>
      <w:r w:rsidRPr="008A34FF">
        <w:rPr>
          <w:rFonts w:hint="cs"/>
          <w:cs/>
        </w:rPr>
        <w:t>ผู้ลงทุนสถาบัน ผู้ลงทุนรายใหญ่พิเศษ หรือผู้ลงทุนรายใหญ่ตามประกาศคณะกรรมการกำกับหลักทรัพย์และตลาดหลักทรัพย์ว่าด้วย</w:t>
      </w:r>
      <w:r w:rsidRPr="008A34FF">
        <w:rPr>
          <w:cs/>
        </w:rPr>
        <w:t xml:space="preserve">การกำหนดบทนิยามผู้ลงทุนสถาบัน </w:t>
      </w:r>
      <w:r w:rsidR="00324211">
        <w:rPr>
          <w:cs/>
        </w:rPr>
        <w:br/>
      </w:r>
      <w:r w:rsidRPr="008A34FF">
        <w:rPr>
          <w:cs/>
        </w:rPr>
        <w:t>ผู้ลงทุนรายใหญ่พิเศษ และผู้ลงทุนรายใหญ่</w:t>
      </w:r>
    </w:p>
    <w:p w14:paraId="441FDB84" w14:textId="389FD9AD" w:rsidR="006A54DF" w:rsidRDefault="008A34FF" w:rsidP="00857BF4">
      <w:pPr>
        <w:ind w:right="-46" w:firstLine="1980"/>
      </w:pPr>
      <w:r>
        <w:rPr>
          <w:rFonts w:hint="cs"/>
          <w:cs/>
        </w:rPr>
        <w:t xml:space="preserve">(ข)  </w:t>
      </w:r>
      <w:bookmarkStart w:id="2" w:name="_Hlk507169553"/>
      <w:r w:rsidRPr="00FD36F4">
        <w:rPr>
          <w:cs/>
        </w:rPr>
        <w:t>ผู้ลงทุน</w:t>
      </w:r>
      <w:r w:rsidRPr="00FD36F4">
        <w:rPr>
          <w:rFonts w:hint="cs"/>
          <w:cs/>
        </w:rPr>
        <w:t>ที่มิใช่</w:t>
      </w:r>
      <w:r w:rsidRPr="00FD36F4">
        <w:rPr>
          <w:cs/>
        </w:rPr>
        <w:t xml:space="preserve">ผู้ลงทุนตาม (ก) </w:t>
      </w:r>
      <w:r w:rsidRPr="00FD36F4">
        <w:rPr>
          <w:rFonts w:hint="cs"/>
          <w:cs/>
        </w:rPr>
        <w:t>ซึ่งเสนอขายเป็น</w:t>
      </w:r>
      <w:r w:rsidRPr="00FD36F4">
        <w:rPr>
          <w:cs/>
        </w:rPr>
        <w:t>มูลค่าไม่เกิน</w:t>
      </w:r>
      <w:r w:rsidRPr="00FD36F4">
        <w:rPr>
          <w:rFonts w:hint="cs"/>
          <w:cs/>
        </w:rPr>
        <w:t xml:space="preserve">รายละ </w:t>
      </w:r>
      <w:r w:rsidRPr="00FD36F4">
        <w:rPr>
          <w:cs/>
        </w:rPr>
        <w:br/>
        <w:t>3 แสนบาทต่อ</w:t>
      </w:r>
      <w:r w:rsidRPr="00FD36F4">
        <w:rPr>
          <w:rFonts w:hint="cs"/>
          <w:cs/>
        </w:rPr>
        <w:t>การเสนอขายในครั้งนั้น</w:t>
      </w:r>
      <w:r w:rsidRPr="00FD36F4">
        <w:rPr>
          <w:cs/>
        </w:rPr>
        <w:t xml:space="preserve"> </w:t>
      </w:r>
      <w:r w:rsidRPr="00FD36F4">
        <w:rPr>
          <w:rFonts w:hint="cs"/>
          <w:cs/>
        </w:rPr>
        <w:t xml:space="preserve"> ทั้งนี้ ผู้ขออนุญาตต้องกำหนดมูลค่าสูงสุดของการเสนอขาย</w:t>
      </w:r>
      <w:r w:rsidRPr="00FD36F4">
        <w:rPr>
          <w:cs/>
        </w:rPr>
        <w:br/>
      </w:r>
      <w:r w:rsidRPr="00FD36F4">
        <w:rPr>
          <w:rFonts w:hint="cs"/>
          <w:cs/>
        </w:rPr>
        <w:t>ในแต่ละครั้งต่อผู้ลงทุนประเภทนี้รวมกันไม่เกินมูลค่าดังนี้ แล้วแต่มูลค่าใดจะสูงกว่า</w:t>
      </w:r>
      <w:bookmarkEnd w:id="2"/>
    </w:p>
    <w:p w14:paraId="771E5E1B" w14:textId="77777777" w:rsidR="006A54DF" w:rsidRDefault="008A34FF" w:rsidP="006A54DF">
      <w:pPr>
        <w:ind w:right="-46" w:firstLine="2340"/>
      </w:pPr>
      <w:r w:rsidRPr="00FD36F4">
        <w:rPr>
          <w:rFonts w:hint="cs"/>
          <w:cs/>
        </w:rPr>
        <w:t xml:space="preserve">1.  ไม่เกิน </w:t>
      </w:r>
      <w:r w:rsidRPr="00FD36F4">
        <w:t>4</w:t>
      </w:r>
      <w:r w:rsidRPr="00FD36F4">
        <w:rPr>
          <w:cs/>
        </w:rPr>
        <w:t xml:space="preserve"> เท่าของส่วนของ</w:t>
      </w:r>
      <w:r>
        <w:rPr>
          <w:rFonts w:hint="cs"/>
          <w:cs/>
        </w:rPr>
        <w:t>ผู้ถือหุ้น</w:t>
      </w:r>
      <w:r w:rsidRPr="00FD36F4">
        <w:rPr>
          <w:cs/>
        </w:rPr>
        <w:t>ของผู้</w:t>
      </w:r>
      <w:r w:rsidRPr="00FD36F4">
        <w:rPr>
          <w:rFonts w:hint="cs"/>
          <w:cs/>
        </w:rPr>
        <w:t>ออกโทเคนดิจิทัล</w:t>
      </w:r>
    </w:p>
    <w:p w14:paraId="00AB973E" w14:textId="34D21FC1" w:rsidR="00E272DA" w:rsidRDefault="008A34FF" w:rsidP="00E272DA">
      <w:pPr>
        <w:ind w:right="-46" w:firstLine="2340"/>
      </w:pPr>
      <w:r w:rsidRPr="00FD36F4">
        <w:rPr>
          <w:rFonts w:hint="cs"/>
          <w:cs/>
        </w:rPr>
        <w:t>2.  ไม่เกิน</w:t>
      </w:r>
      <w:r w:rsidRPr="00FD36F4">
        <w:rPr>
          <w:cs/>
        </w:rPr>
        <w:t xml:space="preserve">ร้อยละ </w:t>
      </w:r>
      <w:r w:rsidRPr="00FD36F4">
        <w:t>70</w:t>
      </w:r>
      <w:r w:rsidRPr="00FD36F4">
        <w:rPr>
          <w:cs/>
        </w:rPr>
        <w:t xml:space="preserve"> ของมูลค่าทั้งหมดที่เสนอขายต่อคร</w:t>
      </w:r>
      <w:r w:rsidRPr="00FD36F4">
        <w:rPr>
          <w:rFonts w:hint="cs"/>
          <w:cs/>
        </w:rPr>
        <w:t>ั้</w:t>
      </w:r>
      <w:r w:rsidRPr="00FD36F4">
        <w:rPr>
          <w:cs/>
        </w:rPr>
        <w:t>ง</w:t>
      </w:r>
      <w:r w:rsidRPr="008A34FF">
        <w:rPr>
          <w:rFonts w:hint="cs"/>
          <w:cs/>
        </w:rPr>
        <w:t>”</w:t>
      </w:r>
    </w:p>
    <w:p w14:paraId="54712B04" w14:textId="316E76C8" w:rsidR="00B05254" w:rsidRPr="00857BF4" w:rsidRDefault="00B05254" w:rsidP="00FB1D80">
      <w:pPr>
        <w:spacing w:before="240"/>
        <w:ind w:right="-45" w:firstLine="1440"/>
      </w:pPr>
      <w:r w:rsidRPr="00857BF4">
        <w:rPr>
          <w:rFonts w:hint="cs"/>
          <w:cs/>
        </w:rPr>
        <w:t xml:space="preserve">ข้อ </w:t>
      </w:r>
      <w:r w:rsidRPr="00857BF4">
        <w:t xml:space="preserve">3   </w:t>
      </w:r>
      <w:r w:rsidRPr="00857BF4">
        <w:rPr>
          <w:cs/>
        </w:rPr>
        <w:t>ให้ยกเลิกความในวรร</w:t>
      </w:r>
      <w:r w:rsidRPr="00857BF4">
        <w:rPr>
          <w:rFonts w:hint="cs"/>
          <w:cs/>
        </w:rPr>
        <w:t>คสองของ</w:t>
      </w:r>
      <w:r w:rsidRPr="00857BF4">
        <w:rPr>
          <w:cs/>
        </w:rPr>
        <w:t xml:space="preserve">ข้อ </w:t>
      </w:r>
      <w:r w:rsidRPr="00857BF4">
        <w:t xml:space="preserve">47 </w:t>
      </w:r>
      <w:r w:rsidRPr="00857BF4">
        <w:rPr>
          <w:cs/>
        </w:rPr>
        <w:t xml:space="preserve">แห่งประกาศคณะกรรมการกำกับหลักทรัพย์และตลาดหลักทรัพย์ ที่ กจ. </w:t>
      </w:r>
      <w:r w:rsidRPr="00857BF4">
        <w:t xml:space="preserve">15/2561  </w:t>
      </w:r>
      <w:r w:rsidRPr="00857BF4">
        <w:rPr>
          <w:cs/>
        </w:rPr>
        <w:t xml:space="preserve">เรื่อง การเสนอขายโทเคนดิจิทัลต่อประชาชน </w:t>
      </w:r>
      <w:r w:rsidR="008529B4" w:rsidRPr="00857BF4">
        <w:rPr>
          <w:cs/>
        </w:rPr>
        <w:br/>
      </w:r>
      <w:r w:rsidRPr="00857BF4">
        <w:rPr>
          <w:cs/>
        </w:rPr>
        <w:t xml:space="preserve">ลงวันที่ </w:t>
      </w:r>
      <w:r w:rsidRPr="00857BF4">
        <w:t xml:space="preserve">3 </w:t>
      </w:r>
      <w:r w:rsidRPr="00857BF4">
        <w:rPr>
          <w:cs/>
        </w:rPr>
        <w:t xml:space="preserve">กรกฎาคม พ.ศ. </w:t>
      </w:r>
      <w:r w:rsidRPr="00857BF4">
        <w:t xml:space="preserve">2561  </w:t>
      </w:r>
      <w:r w:rsidRPr="00857BF4">
        <w:rPr>
          <w:cs/>
        </w:rPr>
        <w:t>และให้ใช้ความต่อไปนี้แทน</w:t>
      </w:r>
    </w:p>
    <w:p w14:paraId="7949DF86" w14:textId="102E47FB" w:rsidR="00FB1D80" w:rsidRDefault="00B05254" w:rsidP="00F16519">
      <w:pPr>
        <w:ind w:right="-46" w:firstLine="1440"/>
      </w:pPr>
      <w:r w:rsidRPr="00EF4A83">
        <w:rPr>
          <w:rFonts w:hint="cs"/>
          <w:spacing w:val="-6"/>
          <w:cs/>
        </w:rPr>
        <w:t>“ในกรณีที่เป็น</w:t>
      </w:r>
      <w:r w:rsidRPr="00EF4A83">
        <w:rPr>
          <w:rFonts w:hint="cs"/>
          <w:spacing w:val="6"/>
          <w:cs/>
        </w:rPr>
        <w:t xml:space="preserve">งบการเงินประจำรอบปีบัญชี และงบการเงินรายไตรมาส (ถ้ามี) </w:t>
      </w:r>
      <w:r w:rsidRPr="00EF4A83">
        <w:rPr>
          <w:spacing w:val="6"/>
          <w:cs/>
        </w:rPr>
        <w:br/>
      </w:r>
      <w:r w:rsidRPr="00EF4A83">
        <w:rPr>
          <w:rFonts w:hint="cs"/>
          <w:spacing w:val="6"/>
          <w:cs/>
        </w:rPr>
        <w:t>ของผู้</w:t>
      </w:r>
      <w:r w:rsidRPr="00EF4A83">
        <w:rPr>
          <w:rFonts w:hint="cs"/>
          <w:cs/>
        </w:rPr>
        <w:t>ออก</w:t>
      </w:r>
      <w:r w:rsidRPr="00EF4A83">
        <w:rPr>
          <w:rFonts w:hint="cs"/>
          <w:spacing w:val="6"/>
          <w:cs/>
        </w:rPr>
        <w:t xml:space="preserve">โทเคนดิจิทัลที่มีการเสนอขายโทเคนดิจิทัลต่อผู้ลงทุนตามข้อ </w:t>
      </w:r>
      <w:r w:rsidRPr="00EF4A83">
        <w:rPr>
          <w:spacing w:val="6"/>
        </w:rPr>
        <w:t>17</w:t>
      </w:r>
      <w:r w:rsidRPr="00EF4A83">
        <w:rPr>
          <w:rFonts w:hint="cs"/>
          <w:spacing w:val="6"/>
          <w:cs/>
        </w:rPr>
        <w:t>(</w:t>
      </w:r>
      <w:r w:rsidRPr="00EF4A83">
        <w:rPr>
          <w:spacing w:val="6"/>
        </w:rPr>
        <w:t>3</w:t>
      </w:r>
      <w:r w:rsidRPr="00EF4A83">
        <w:rPr>
          <w:rFonts w:hint="cs"/>
          <w:spacing w:val="6"/>
          <w:cs/>
        </w:rPr>
        <w:t xml:space="preserve">) (ข) </w:t>
      </w:r>
      <w:r w:rsidRPr="00EF4A83">
        <w:rPr>
          <w:spacing w:val="6"/>
          <w:cs/>
        </w:rPr>
        <w:t>รายงานของ</w:t>
      </w:r>
      <w:r w:rsidR="00D84117" w:rsidRPr="00EF4A83">
        <w:rPr>
          <w:spacing w:val="6"/>
          <w:cs/>
        </w:rPr>
        <w:br/>
      </w:r>
      <w:r w:rsidRPr="00EF4A83">
        <w:rPr>
          <w:spacing w:val="6"/>
          <w:cs/>
        </w:rPr>
        <w:t>ผู้สอบบัญชี</w:t>
      </w:r>
      <w:r w:rsidRPr="00EF4A83">
        <w:rPr>
          <w:rFonts w:hint="cs"/>
          <w:spacing w:val="6"/>
          <w:cs/>
        </w:rPr>
        <w:t>ตามวรรคหนึ่งต้อง</w:t>
      </w:r>
      <w:r w:rsidRPr="00EF4A83">
        <w:rPr>
          <w:cs/>
        </w:rPr>
        <w:t>ไม่มีความหมายในลักษณะ</w:t>
      </w:r>
      <w:r w:rsidRPr="00EF4A83">
        <w:rPr>
          <w:spacing w:val="6"/>
          <w:cs/>
        </w:rPr>
        <w:t>ดังต่อไปนี้</w:t>
      </w:r>
    </w:p>
    <w:p w14:paraId="1CBA190B" w14:textId="77777777" w:rsidR="007359A4" w:rsidRDefault="007359A4">
      <w:pPr>
        <w:widowControl/>
        <w:spacing w:after="160" w:line="259" w:lineRule="auto"/>
        <w:rPr>
          <w:cs/>
        </w:rPr>
      </w:pPr>
      <w:r>
        <w:rPr>
          <w:cs/>
        </w:rPr>
        <w:br w:type="page"/>
      </w:r>
    </w:p>
    <w:p w14:paraId="54013E7F" w14:textId="3212F7D3" w:rsidR="00B05254" w:rsidRPr="00E06FC6" w:rsidRDefault="00B05254" w:rsidP="00F16519">
      <w:pPr>
        <w:ind w:right="-46" w:firstLine="1440"/>
      </w:pPr>
      <w:r w:rsidRPr="00FD36F4">
        <w:rPr>
          <w:rFonts w:hint="cs"/>
          <w:cs/>
        </w:rPr>
        <w:lastRenderedPageBreak/>
        <w:t>(</w:t>
      </w:r>
      <w:r w:rsidRPr="00FD36F4">
        <w:t>1</w:t>
      </w:r>
      <w:r w:rsidRPr="00FD36F4">
        <w:rPr>
          <w:rFonts w:hint="cs"/>
          <w:cs/>
        </w:rPr>
        <w:t xml:space="preserve">)  </w:t>
      </w:r>
      <w:r w:rsidRPr="00FD36F4">
        <w:rPr>
          <w:spacing w:val="-6"/>
          <w:cs/>
        </w:rPr>
        <w:t>การจัดทำและเปิดเผยข้อมูลในงบการเงินไม่</w:t>
      </w:r>
      <w:r w:rsidRPr="00FD36F4">
        <w:rPr>
          <w:rFonts w:hint="cs"/>
          <w:spacing w:val="-6"/>
          <w:cs/>
        </w:rPr>
        <w:t>เป็นไป</w:t>
      </w:r>
      <w:r w:rsidRPr="00FD36F4">
        <w:rPr>
          <w:spacing w:val="-6"/>
          <w:cs/>
        </w:rPr>
        <w:t>ตามมาตรฐานการรายงาน</w:t>
      </w:r>
      <w:r w:rsidRPr="00FD36F4">
        <w:rPr>
          <w:spacing w:val="-6"/>
          <w:cs/>
        </w:rPr>
        <w:br/>
        <w:t>ทางการเงิน</w:t>
      </w:r>
      <w:r w:rsidRPr="00FD36F4">
        <w:rPr>
          <w:rFonts w:hint="cs"/>
          <w:cs/>
        </w:rPr>
        <w:t>ที่ต้องใช้ในการจัดทำงบการเงินนั้น</w:t>
      </w:r>
      <w:r w:rsidRPr="00FD36F4">
        <w:rPr>
          <w:cs/>
        </w:rPr>
        <w:br/>
      </w:r>
      <w:r w:rsidRPr="00FD36F4">
        <w:rPr>
          <w:cs/>
        </w:rPr>
        <w:tab/>
      </w:r>
      <w:r w:rsidRPr="00FD36F4">
        <w:rPr>
          <w:rFonts w:hint="cs"/>
          <w:cs/>
        </w:rPr>
        <w:tab/>
        <w:t>(</w:t>
      </w:r>
      <w:r w:rsidRPr="00FD36F4">
        <w:t>2</w:t>
      </w:r>
      <w:r w:rsidRPr="00FD36F4">
        <w:rPr>
          <w:rFonts w:hint="cs"/>
          <w:cs/>
        </w:rPr>
        <w:t xml:space="preserve">)  </w:t>
      </w:r>
      <w:r w:rsidRPr="00FD36F4">
        <w:rPr>
          <w:rFonts w:hint="cs"/>
          <w:spacing w:val="6"/>
          <w:cs/>
        </w:rPr>
        <w:t>ผู้สอบบัญชี</w:t>
      </w:r>
      <w:r w:rsidRPr="00FD36F4">
        <w:rPr>
          <w:spacing w:val="6"/>
          <w:cs/>
        </w:rPr>
        <w:t>ถูกจำกัดขอบเขตการตรวจสอบ</w:t>
      </w:r>
      <w:r w:rsidRPr="00FD36F4">
        <w:rPr>
          <w:rFonts w:hint="cs"/>
          <w:spacing w:val="6"/>
          <w:cs/>
        </w:rPr>
        <w:t xml:space="preserve">หรือสอบทาน แล้วแต่กรณี </w:t>
      </w:r>
      <w:r w:rsidRPr="00FD36F4">
        <w:rPr>
          <w:spacing w:val="6"/>
          <w:cs/>
        </w:rPr>
        <w:br/>
        <w:t>โดยการกระทำหรือไม่กระทำของ</w:t>
      </w:r>
      <w:r w:rsidRPr="00FD36F4">
        <w:rPr>
          <w:cs/>
        </w:rPr>
        <w:t>ผู้</w:t>
      </w:r>
      <w:r w:rsidRPr="00FD36F4">
        <w:rPr>
          <w:rFonts w:hint="cs"/>
          <w:cs/>
        </w:rPr>
        <w:t>ออก</w:t>
      </w:r>
      <w:r w:rsidRPr="00FD36F4">
        <w:rPr>
          <w:cs/>
        </w:rPr>
        <w:t>โทเคนดิจิทัล</w:t>
      </w:r>
      <w:r w:rsidRPr="00FD36F4">
        <w:rPr>
          <w:rFonts w:hint="cs"/>
          <w:spacing w:val="6"/>
          <w:cs/>
        </w:rPr>
        <w:t xml:space="preserve"> </w:t>
      </w:r>
      <w:r w:rsidRPr="00FD36F4">
        <w:rPr>
          <w:spacing w:val="6"/>
          <w:cs/>
        </w:rPr>
        <w:t>หรือของกรรมการหรือผู้บริหารของ</w:t>
      </w:r>
      <w:r w:rsidR="00D84117">
        <w:rPr>
          <w:spacing w:val="6"/>
          <w:cs/>
        </w:rPr>
        <w:br/>
      </w:r>
      <w:r w:rsidRPr="00FD36F4">
        <w:rPr>
          <w:cs/>
        </w:rPr>
        <w:t>ผู้</w:t>
      </w:r>
      <w:r w:rsidRPr="00FD36F4">
        <w:rPr>
          <w:rFonts w:hint="cs"/>
          <w:cs/>
        </w:rPr>
        <w:t>ออก</w:t>
      </w:r>
      <w:r w:rsidRPr="00FD36F4">
        <w:rPr>
          <w:cs/>
        </w:rPr>
        <w:t>โทเคนดิจิทัล</w:t>
      </w:r>
      <w:r>
        <w:rPr>
          <w:rFonts w:hint="cs"/>
          <w:cs/>
        </w:rPr>
        <w:t>”</w:t>
      </w:r>
    </w:p>
    <w:p w14:paraId="1C266A8A" w14:textId="6F31BEF3" w:rsidR="009F128A" w:rsidRPr="000219BA" w:rsidRDefault="003633BA" w:rsidP="00FB1D80">
      <w:pPr>
        <w:tabs>
          <w:tab w:val="left" w:pos="0"/>
        </w:tabs>
        <w:spacing w:before="240"/>
        <w:ind w:right="-312"/>
        <w:rPr>
          <w:rFonts w:eastAsia="Times New Roman"/>
          <w:snapToGrid/>
        </w:rPr>
      </w:pPr>
      <w:r w:rsidRPr="000219BA">
        <w:rPr>
          <w:rFonts w:eastAsia="Calibri"/>
          <w:cs/>
        </w:rPr>
        <w:tab/>
      </w:r>
      <w:r w:rsidRPr="000219BA">
        <w:rPr>
          <w:rFonts w:eastAsia="Calibri"/>
          <w:cs/>
        </w:rPr>
        <w:tab/>
      </w:r>
      <w:r w:rsidR="009F128A" w:rsidRPr="000219BA">
        <w:rPr>
          <w:cs/>
        </w:rPr>
        <w:t xml:space="preserve">ข้อ </w:t>
      </w:r>
      <w:r w:rsidR="00B05254">
        <w:t>4</w:t>
      </w:r>
      <w:r w:rsidR="009F128A" w:rsidRPr="000219BA">
        <w:rPr>
          <w:cs/>
        </w:rPr>
        <w:t xml:space="preserve">   ประกาศนี้ให้ใช้บังคับตั้งแต่วันที่</w:t>
      </w:r>
      <w:r w:rsidR="00DE2D1E">
        <w:rPr>
          <w:cs/>
        </w:rPr>
        <w:tab/>
      </w:r>
      <w:r w:rsidR="006262C7">
        <w:rPr>
          <w:rFonts w:hint="cs"/>
          <w:cs/>
        </w:rPr>
        <w:t xml:space="preserve">      </w:t>
      </w:r>
      <w:r w:rsidR="00DE2D1E">
        <w:rPr>
          <w:rFonts w:hint="cs"/>
          <w:cs/>
        </w:rPr>
        <w:t>1 ตุลาคม พ.ศ. 2565</w:t>
      </w:r>
      <w:r w:rsidR="00DE2D1E">
        <w:rPr>
          <w:cs/>
        </w:rPr>
        <w:tab/>
      </w:r>
      <w:r w:rsidR="009F128A" w:rsidRPr="000219BA">
        <w:rPr>
          <w:cs/>
        </w:rPr>
        <w:t>เป็นต้นไป</w:t>
      </w:r>
    </w:p>
    <w:p w14:paraId="7996AC80" w14:textId="70807BE1" w:rsidR="009F128A" w:rsidRPr="000219BA" w:rsidRDefault="009F128A" w:rsidP="00FB1D80">
      <w:pPr>
        <w:autoSpaceDN w:val="0"/>
        <w:spacing w:before="240"/>
        <w:rPr>
          <w:noProof/>
          <w:cs/>
        </w:rPr>
      </w:pPr>
      <w:r w:rsidRPr="000219BA">
        <w:rPr>
          <w:cs/>
        </w:rPr>
        <w:tab/>
      </w:r>
      <w:r w:rsidRPr="000219BA">
        <w:rPr>
          <w:noProof/>
        </w:rPr>
        <w:tab/>
      </w:r>
      <w:r w:rsidRPr="000219BA">
        <w:rPr>
          <w:noProof/>
        </w:rPr>
        <w:tab/>
        <w:t xml:space="preserve">   </w:t>
      </w:r>
      <w:r w:rsidRPr="000219BA">
        <w:rPr>
          <w:cs/>
        </w:rPr>
        <w:t>ประกาศ  ณ  วันที่</w:t>
      </w:r>
      <w:r w:rsidR="00DE2D1E">
        <w:rPr>
          <w:rFonts w:hint="cs"/>
          <w:cs/>
        </w:rPr>
        <w:t xml:space="preserve">  2 มิถุนายน 2565</w:t>
      </w:r>
    </w:p>
    <w:p w14:paraId="45266ADD" w14:textId="66A947FC" w:rsidR="009F128A" w:rsidRPr="000219BA" w:rsidRDefault="009F128A" w:rsidP="00F16519">
      <w:pPr>
        <w:autoSpaceDN w:val="0"/>
        <w:ind w:right="-136"/>
        <w:rPr>
          <w:cs/>
        </w:rPr>
      </w:pPr>
    </w:p>
    <w:p w14:paraId="2B510207" w14:textId="12EBE4C0" w:rsidR="008B1049" w:rsidRPr="000219BA" w:rsidRDefault="008B1049" w:rsidP="00857BF4">
      <w:pPr>
        <w:autoSpaceDN w:val="0"/>
        <w:ind w:left="1440" w:right="-136" w:hanging="1440"/>
      </w:pPr>
    </w:p>
    <w:p w14:paraId="7EB366B3" w14:textId="77777777" w:rsidR="00FD064D" w:rsidRPr="000219BA" w:rsidRDefault="00FD064D" w:rsidP="00857BF4">
      <w:pPr>
        <w:autoSpaceDN w:val="0"/>
        <w:ind w:left="1440" w:right="-136" w:hanging="1440"/>
        <w:rPr>
          <w:cs/>
        </w:rPr>
      </w:pPr>
    </w:p>
    <w:p w14:paraId="5014A0EB" w14:textId="4C2476B3" w:rsidR="000E3D4C" w:rsidRPr="00991583" w:rsidRDefault="009F128A" w:rsidP="00F16519">
      <w:pPr>
        <w:tabs>
          <w:tab w:val="center" w:pos="5580"/>
        </w:tabs>
        <w:autoSpaceDN w:val="0"/>
      </w:pPr>
      <w:r w:rsidRPr="000219BA">
        <w:rPr>
          <w:cs/>
        </w:rPr>
        <w:tab/>
      </w:r>
      <w:r w:rsidRPr="00991583">
        <w:rPr>
          <w:cs/>
        </w:rPr>
        <w:t>(</w:t>
      </w:r>
      <w:r w:rsidR="00991583" w:rsidRPr="00991583">
        <w:rPr>
          <w:cs/>
        </w:rPr>
        <w:t>นายพิชิต  อัคราทิตย์</w:t>
      </w:r>
      <w:r w:rsidRPr="00991583">
        <w:rPr>
          <w:cs/>
        </w:rPr>
        <w:t>)</w:t>
      </w:r>
    </w:p>
    <w:p w14:paraId="7C6BC61D" w14:textId="41EBFF1A" w:rsidR="000E3D4C" w:rsidRPr="00991583" w:rsidRDefault="009F128A" w:rsidP="00F16519">
      <w:pPr>
        <w:tabs>
          <w:tab w:val="center" w:pos="5580"/>
        </w:tabs>
        <w:autoSpaceDN w:val="0"/>
      </w:pPr>
      <w:r w:rsidRPr="00991583">
        <w:rPr>
          <w:cs/>
        </w:rPr>
        <w:tab/>
      </w:r>
      <w:r w:rsidR="00991583" w:rsidRPr="00991583">
        <w:rPr>
          <w:cs/>
        </w:rPr>
        <w:t>ประธานกรรมการ</w:t>
      </w:r>
    </w:p>
    <w:p w14:paraId="1D8CF08B" w14:textId="1BA8F1A8" w:rsidR="00E63576" w:rsidRPr="000219BA" w:rsidRDefault="009F128A" w:rsidP="00F16519">
      <w:pPr>
        <w:tabs>
          <w:tab w:val="center" w:pos="5580"/>
        </w:tabs>
        <w:autoSpaceDN w:val="0"/>
        <w:rPr>
          <w:cs/>
        </w:rPr>
      </w:pPr>
      <w:r w:rsidRPr="00991583">
        <w:rPr>
          <w:cs/>
        </w:rPr>
        <w:tab/>
      </w:r>
      <w:r w:rsidR="00991583" w:rsidRPr="00991583">
        <w:rPr>
          <w:cs/>
        </w:rPr>
        <w:t>คณะกรรมการกำกับหลักทรัพย์</w:t>
      </w:r>
      <w:r w:rsidR="00991583" w:rsidRPr="00C43163">
        <w:rPr>
          <w:cs/>
        </w:rPr>
        <w:t>และตลาดหลักทรัพย์</w:t>
      </w:r>
    </w:p>
    <w:sectPr w:rsidR="00E63576" w:rsidRPr="000219BA" w:rsidSect="002223E2">
      <w:headerReference w:type="default" r:id="rId7"/>
      <w:pgSz w:w="11906" w:h="16838"/>
      <w:pgMar w:top="994" w:right="1440" w:bottom="1267" w:left="1872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DEBA" w14:textId="77777777" w:rsidR="004813C0" w:rsidRDefault="004813C0" w:rsidP="009F128A">
      <w:r>
        <w:separator/>
      </w:r>
    </w:p>
  </w:endnote>
  <w:endnote w:type="continuationSeparator" w:id="0">
    <w:p w14:paraId="09353C54" w14:textId="77777777" w:rsidR="004813C0" w:rsidRDefault="004813C0" w:rsidP="009F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76A0" w14:textId="77777777" w:rsidR="004813C0" w:rsidRDefault="004813C0" w:rsidP="009F128A">
      <w:r>
        <w:separator/>
      </w:r>
    </w:p>
  </w:footnote>
  <w:footnote w:type="continuationSeparator" w:id="0">
    <w:p w14:paraId="29092086" w14:textId="77777777" w:rsidR="004813C0" w:rsidRDefault="004813C0" w:rsidP="009F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H SarabunPSK"/>
      </w:rPr>
      <w:id w:val="-102801350"/>
      <w:docPartObj>
        <w:docPartGallery w:val="Page Numbers (Top of Page)"/>
        <w:docPartUnique/>
      </w:docPartObj>
    </w:sdtPr>
    <w:sdtEndPr/>
    <w:sdtContent>
      <w:p w14:paraId="3F426E98" w14:textId="09A0E7FC" w:rsidR="009F128A" w:rsidRPr="000219BA" w:rsidRDefault="009F128A">
        <w:pPr>
          <w:pStyle w:val="Header"/>
          <w:jc w:val="center"/>
          <w:rPr>
            <w:rFonts w:cs="TH SarabunPSK"/>
          </w:rPr>
        </w:pPr>
        <w:r w:rsidRPr="000219BA">
          <w:rPr>
            <w:rFonts w:cs="TH SarabunPSK"/>
          </w:rPr>
          <w:fldChar w:fldCharType="begin"/>
        </w:r>
        <w:r w:rsidRPr="000219BA">
          <w:rPr>
            <w:rFonts w:cs="TH SarabunPSK"/>
          </w:rPr>
          <w:instrText xml:space="preserve"> PAGE   \* MERGEFORMAT </w:instrText>
        </w:r>
        <w:r w:rsidRPr="000219BA">
          <w:rPr>
            <w:rFonts w:cs="TH SarabunPSK"/>
          </w:rPr>
          <w:fldChar w:fldCharType="separate"/>
        </w:r>
        <w:r w:rsidRPr="000219BA">
          <w:rPr>
            <w:rFonts w:cs="TH SarabunPSK"/>
            <w:noProof/>
          </w:rPr>
          <w:t>2</w:t>
        </w:r>
        <w:r w:rsidRPr="000219BA">
          <w:rPr>
            <w:rFonts w:cs="TH SarabunPSK"/>
            <w:noProof/>
          </w:rPr>
          <w:fldChar w:fldCharType="end"/>
        </w:r>
      </w:p>
    </w:sdtContent>
  </w:sdt>
  <w:p w14:paraId="1F748FC4" w14:textId="77777777" w:rsidR="009F128A" w:rsidRPr="000219BA" w:rsidRDefault="009F128A">
    <w:pPr>
      <w:pStyle w:val="Header"/>
      <w:rPr>
        <w:rFonts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8A"/>
    <w:rsid w:val="0000123E"/>
    <w:rsid w:val="000023EC"/>
    <w:rsid w:val="00003713"/>
    <w:rsid w:val="00007ECF"/>
    <w:rsid w:val="00011519"/>
    <w:rsid w:val="000135EA"/>
    <w:rsid w:val="0001600D"/>
    <w:rsid w:val="00016BA5"/>
    <w:rsid w:val="000219BA"/>
    <w:rsid w:val="00023E63"/>
    <w:rsid w:val="00036CFE"/>
    <w:rsid w:val="00037DE4"/>
    <w:rsid w:val="00047407"/>
    <w:rsid w:val="00073226"/>
    <w:rsid w:val="0007559B"/>
    <w:rsid w:val="0008314F"/>
    <w:rsid w:val="00090ABF"/>
    <w:rsid w:val="00091F00"/>
    <w:rsid w:val="000A0FC5"/>
    <w:rsid w:val="000A2407"/>
    <w:rsid w:val="000A60F8"/>
    <w:rsid w:val="000A653D"/>
    <w:rsid w:val="000B2D9E"/>
    <w:rsid w:val="000B6B76"/>
    <w:rsid w:val="000C1766"/>
    <w:rsid w:val="000C2880"/>
    <w:rsid w:val="000C4AB7"/>
    <w:rsid w:val="000C6206"/>
    <w:rsid w:val="000D25A1"/>
    <w:rsid w:val="000D352C"/>
    <w:rsid w:val="000D3EF5"/>
    <w:rsid w:val="000D4A80"/>
    <w:rsid w:val="000D54D0"/>
    <w:rsid w:val="000D60CC"/>
    <w:rsid w:val="000E3D4C"/>
    <w:rsid w:val="000F4327"/>
    <w:rsid w:val="00106866"/>
    <w:rsid w:val="001110C1"/>
    <w:rsid w:val="001176E4"/>
    <w:rsid w:val="001229C4"/>
    <w:rsid w:val="0012552B"/>
    <w:rsid w:val="001331EE"/>
    <w:rsid w:val="001350AD"/>
    <w:rsid w:val="00136905"/>
    <w:rsid w:val="00141219"/>
    <w:rsid w:val="00155AF2"/>
    <w:rsid w:val="001567C9"/>
    <w:rsid w:val="00161F26"/>
    <w:rsid w:val="00162033"/>
    <w:rsid w:val="001677B8"/>
    <w:rsid w:val="00170BCD"/>
    <w:rsid w:val="001815C8"/>
    <w:rsid w:val="00182575"/>
    <w:rsid w:val="00184D3C"/>
    <w:rsid w:val="00186F64"/>
    <w:rsid w:val="001965EC"/>
    <w:rsid w:val="0019727D"/>
    <w:rsid w:val="001A15CF"/>
    <w:rsid w:val="001A26F5"/>
    <w:rsid w:val="001B280C"/>
    <w:rsid w:val="001B2B01"/>
    <w:rsid w:val="001B4DC3"/>
    <w:rsid w:val="001B5427"/>
    <w:rsid w:val="001B62F6"/>
    <w:rsid w:val="001B7996"/>
    <w:rsid w:val="001C22AE"/>
    <w:rsid w:val="001C574C"/>
    <w:rsid w:val="001C7108"/>
    <w:rsid w:val="001D034F"/>
    <w:rsid w:val="001D060B"/>
    <w:rsid w:val="001D718B"/>
    <w:rsid w:val="001E0446"/>
    <w:rsid w:val="001F0B48"/>
    <w:rsid w:val="001F2053"/>
    <w:rsid w:val="001F2BED"/>
    <w:rsid w:val="002008F5"/>
    <w:rsid w:val="00214F30"/>
    <w:rsid w:val="002223E2"/>
    <w:rsid w:val="0023799A"/>
    <w:rsid w:val="0024443C"/>
    <w:rsid w:val="00244B72"/>
    <w:rsid w:val="0024712F"/>
    <w:rsid w:val="002539B2"/>
    <w:rsid w:val="00267089"/>
    <w:rsid w:val="002673F9"/>
    <w:rsid w:val="00267809"/>
    <w:rsid w:val="00271397"/>
    <w:rsid w:val="00273CCD"/>
    <w:rsid w:val="00283959"/>
    <w:rsid w:val="00286121"/>
    <w:rsid w:val="0029705F"/>
    <w:rsid w:val="002A2342"/>
    <w:rsid w:val="002A6848"/>
    <w:rsid w:val="002B3126"/>
    <w:rsid w:val="002B6DC2"/>
    <w:rsid w:val="002C5A6C"/>
    <w:rsid w:val="002E1F5B"/>
    <w:rsid w:val="002F2785"/>
    <w:rsid w:val="0031307A"/>
    <w:rsid w:val="00322DF9"/>
    <w:rsid w:val="00324211"/>
    <w:rsid w:val="00324DEE"/>
    <w:rsid w:val="00333B16"/>
    <w:rsid w:val="0033568B"/>
    <w:rsid w:val="00342D22"/>
    <w:rsid w:val="00350E09"/>
    <w:rsid w:val="00352C41"/>
    <w:rsid w:val="00353906"/>
    <w:rsid w:val="00355C77"/>
    <w:rsid w:val="00357DFA"/>
    <w:rsid w:val="003630B3"/>
    <w:rsid w:val="003633BA"/>
    <w:rsid w:val="00366FF4"/>
    <w:rsid w:val="00367516"/>
    <w:rsid w:val="0037039D"/>
    <w:rsid w:val="0037149E"/>
    <w:rsid w:val="00376E85"/>
    <w:rsid w:val="00385744"/>
    <w:rsid w:val="00386360"/>
    <w:rsid w:val="003934DA"/>
    <w:rsid w:val="003A44A5"/>
    <w:rsid w:val="003B4824"/>
    <w:rsid w:val="003C26EB"/>
    <w:rsid w:val="003E0A5C"/>
    <w:rsid w:val="003E4D40"/>
    <w:rsid w:val="003E5822"/>
    <w:rsid w:val="003F7D89"/>
    <w:rsid w:val="004027FE"/>
    <w:rsid w:val="0040338B"/>
    <w:rsid w:val="004040D3"/>
    <w:rsid w:val="00406BFB"/>
    <w:rsid w:val="00406F27"/>
    <w:rsid w:val="004142BC"/>
    <w:rsid w:val="00414B50"/>
    <w:rsid w:val="00423CCC"/>
    <w:rsid w:val="0042568D"/>
    <w:rsid w:val="004332AE"/>
    <w:rsid w:val="00434BC8"/>
    <w:rsid w:val="00436D11"/>
    <w:rsid w:val="004543EC"/>
    <w:rsid w:val="004554EE"/>
    <w:rsid w:val="004644FB"/>
    <w:rsid w:val="004653EF"/>
    <w:rsid w:val="004719EF"/>
    <w:rsid w:val="00476F4F"/>
    <w:rsid w:val="004813C0"/>
    <w:rsid w:val="00482B47"/>
    <w:rsid w:val="00493414"/>
    <w:rsid w:val="00497551"/>
    <w:rsid w:val="004B0E6E"/>
    <w:rsid w:val="004B74D5"/>
    <w:rsid w:val="004D7639"/>
    <w:rsid w:val="004E01F1"/>
    <w:rsid w:val="004E3CE1"/>
    <w:rsid w:val="004E4AEA"/>
    <w:rsid w:val="004E67C5"/>
    <w:rsid w:val="004E6A1E"/>
    <w:rsid w:val="004E732C"/>
    <w:rsid w:val="004F07F0"/>
    <w:rsid w:val="004F2579"/>
    <w:rsid w:val="00503CFE"/>
    <w:rsid w:val="00514490"/>
    <w:rsid w:val="00524566"/>
    <w:rsid w:val="005302E3"/>
    <w:rsid w:val="00535A3E"/>
    <w:rsid w:val="005624DC"/>
    <w:rsid w:val="00565A2A"/>
    <w:rsid w:val="00566D5B"/>
    <w:rsid w:val="005713A9"/>
    <w:rsid w:val="005713C0"/>
    <w:rsid w:val="00576358"/>
    <w:rsid w:val="00587A42"/>
    <w:rsid w:val="00594A84"/>
    <w:rsid w:val="005955B2"/>
    <w:rsid w:val="00597FAA"/>
    <w:rsid w:val="005A38B3"/>
    <w:rsid w:val="005B0D20"/>
    <w:rsid w:val="005B0E20"/>
    <w:rsid w:val="005C3DA2"/>
    <w:rsid w:val="005C69FD"/>
    <w:rsid w:val="005D19B4"/>
    <w:rsid w:val="005E0757"/>
    <w:rsid w:val="005E246A"/>
    <w:rsid w:val="005E435A"/>
    <w:rsid w:val="005E6E39"/>
    <w:rsid w:val="005F1DB3"/>
    <w:rsid w:val="005F34A3"/>
    <w:rsid w:val="005F4E55"/>
    <w:rsid w:val="00600337"/>
    <w:rsid w:val="00606F00"/>
    <w:rsid w:val="00616973"/>
    <w:rsid w:val="006262C7"/>
    <w:rsid w:val="00634111"/>
    <w:rsid w:val="00635027"/>
    <w:rsid w:val="0063538B"/>
    <w:rsid w:val="00653DC8"/>
    <w:rsid w:val="00655D1F"/>
    <w:rsid w:val="006602E8"/>
    <w:rsid w:val="006704C1"/>
    <w:rsid w:val="00673317"/>
    <w:rsid w:val="00680CCB"/>
    <w:rsid w:val="00681A23"/>
    <w:rsid w:val="006908BB"/>
    <w:rsid w:val="006A13D3"/>
    <w:rsid w:val="006A18F0"/>
    <w:rsid w:val="006A5002"/>
    <w:rsid w:val="006A54DF"/>
    <w:rsid w:val="006A78FB"/>
    <w:rsid w:val="006C00AB"/>
    <w:rsid w:val="006C08D8"/>
    <w:rsid w:val="006D20D9"/>
    <w:rsid w:val="006D406A"/>
    <w:rsid w:val="006D6AA3"/>
    <w:rsid w:val="006F1DF7"/>
    <w:rsid w:val="0070577E"/>
    <w:rsid w:val="00714411"/>
    <w:rsid w:val="00716640"/>
    <w:rsid w:val="007359A4"/>
    <w:rsid w:val="00737810"/>
    <w:rsid w:val="0074790F"/>
    <w:rsid w:val="00754CEE"/>
    <w:rsid w:val="00763FC5"/>
    <w:rsid w:val="00773F6F"/>
    <w:rsid w:val="007776B1"/>
    <w:rsid w:val="007A1695"/>
    <w:rsid w:val="007A5F48"/>
    <w:rsid w:val="007A710F"/>
    <w:rsid w:val="007A76B5"/>
    <w:rsid w:val="007A7949"/>
    <w:rsid w:val="007B4357"/>
    <w:rsid w:val="007B53F9"/>
    <w:rsid w:val="007C0F64"/>
    <w:rsid w:val="007C4FF7"/>
    <w:rsid w:val="007F1969"/>
    <w:rsid w:val="007F562A"/>
    <w:rsid w:val="007F59EC"/>
    <w:rsid w:val="007F5D01"/>
    <w:rsid w:val="007F75E1"/>
    <w:rsid w:val="00800B63"/>
    <w:rsid w:val="0080354B"/>
    <w:rsid w:val="00807B4F"/>
    <w:rsid w:val="008107AF"/>
    <w:rsid w:val="00821883"/>
    <w:rsid w:val="0082212E"/>
    <w:rsid w:val="008266E7"/>
    <w:rsid w:val="00830BD8"/>
    <w:rsid w:val="00831229"/>
    <w:rsid w:val="00831FA4"/>
    <w:rsid w:val="00833F38"/>
    <w:rsid w:val="00844CD3"/>
    <w:rsid w:val="00844CFF"/>
    <w:rsid w:val="00847177"/>
    <w:rsid w:val="008529B4"/>
    <w:rsid w:val="00856091"/>
    <w:rsid w:val="00857BF4"/>
    <w:rsid w:val="008713EF"/>
    <w:rsid w:val="008848E9"/>
    <w:rsid w:val="0088551C"/>
    <w:rsid w:val="008859A6"/>
    <w:rsid w:val="008926E1"/>
    <w:rsid w:val="00897652"/>
    <w:rsid w:val="008A0858"/>
    <w:rsid w:val="008A34FF"/>
    <w:rsid w:val="008A6B36"/>
    <w:rsid w:val="008B1049"/>
    <w:rsid w:val="008C066E"/>
    <w:rsid w:val="008C6DE0"/>
    <w:rsid w:val="008D279D"/>
    <w:rsid w:val="008D5B43"/>
    <w:rsid w:val="008E094B"/>
    <w:rsid w:val="009015CB"/>
    <w:rsid w:val="009037FF"/>
    <w:rsid w:val="00904298"/>
    <w:rsid w:val="00904392"/>
    <w:rsid w:val="00914E9D"/>
    <w:rsid w:val="00916542"/>
    <w:rsid w:val="009205BE"/>
    <w:rsid w:val="00923002"/>
    <w:rsid w:val="00932C6A"/>
    <w:rsid w:val="00935903"/>
    <w:rsid w:val="009440B7"/>
    <w:rsid w:val="009447A6"/>
    <w:rsid w:val="00947053"/>
    <w:rsid w:val="00954B46"/>
    <w:rsid w:val="0095780B"/>
    <w:rsid w:val="0096357A"/>
    <w:rsid w:val="00967A77"/>
    <w:rsid w:val="009711B9"/>
    <w:rsid w:val="00972B4D"/>
    <w:rsid w:val="009739D7"/>
    <w:rsid w:val="009751A5"/>
    <w:rsid w:val="009769C8"/>
    <w:rsid w:val="00977E32"/>
    <w:rsid w:val="009818D0"/>
    <w:rsid w:val="009825A0"/>
    <w:rsid w:val="009827A5"/>
    <w:rsid w:val="00986C8F"/>
    <w:rsid w:val="00991583"/>
    <w:rsid w:val="00991B64"/>
    <w:rsid w:val="00995B0A"/>
    <w:rsid w:val="009B1390"/>
    <w:rsid w:val="009C0F73"/>
    <w:rsid w:val="009C393B"/>
    <w:rsid w:val="009E3190"/>
    <w:rsid w:val="009E6DE3"/>
    <w:rsid w:val="009E6FBC"/>
    <w:rsid w:val="009F128A"/>
    <w:rsid w:val="00A02C41"/>
    <w:rsid w:val="00A234EE"/>
    <w:rsid w:val="00A279D4"/>
    <w:rsid w:val="00A30130"/>
    <w:rsid w:val="00A40D33"/>
    <w:rsid w:val="00A57E2E"/>
    <w:rsid w:val="00A64618"/>
    <w:rsid w:val="00A70621"/>
    <w:rsid w:val="00A745D0"/>
    <w:rsid w:val="00A74FD3"/>
    <w:rsid w:val="00A75845"/>
    <w:rsid w:val="00A80F56"/>
    <w:rsid w:val="00A877B5"/>
    <w:rsid w:val="00A901AD"/>
    <w:rsid w:val="00AA1BEC"/>
    <w:rsid w:val="00AA5E27"/>
    <w:rsid w:val="00AB0BCE"/>
    <w:rsid w:val="00AB174E"/>
    <w:rsid w:val="00AB1F0D"/>
    <w:rsid w:val="00AC0CC1"/>
    <w:rsid w:val="00AC5195"/>
    <w:rsid w:val="00AC5F48"/>
    <w:rsid w:val="00AC7773"/>
    <w:rsid w:val="00AC7C1E"/>
    <w:rsid w:val="00AD0733"/>
    <w:rsid w:val="00AE7D72"/>
    <w:rsid w:val="00AF712C"/>
    <w:rsid w:val="00B05254"/>
    <w:rsid w:val="00B05709"/>
    <w:rsid w:val="00B0614D"/>
    <w:rsid w:val="00B061BE"/>
    <w:rsid w:val="00B10A41"/>
    <w:rsid w:val="00B220C0"/>
    <w:rsid w:val="00B31920"/>
    <w:rsid w:val="00B35477"/>
    <w:rsid w:val="00B3675F"/>
    <w:rsid w:val="00B37B49"/>
    <w:rsid w:val="00B40020"/>
    <w:rsid w:val="00B46DD8"/>
    <w:rsid w:val="00B47A80"/>
    <w:rsid w:val="00B516AE"/>
    <w:rsid w:val="00B604D1"/>
    <w:rsid w:val="00B614A7"/>
    <w:rsid w:val="00B777C7"/>
    <w:rsid w:val="00B77B5E"/>
    <w:rsid w:val="00B93BFF"/>
    <w:rsid w:val="00BA5F15"/>
    <w:rsid w:val="00BA64C1"/>
    <w:rsid w:val="00BB2411"/>
    <w:rsid w:val="00BB48F3"/>
    <w:rsid w:val="00BB73A8"/>
    <w:rsid w:val="00BB77FD"/>
    <w:rsid w:val="00BC7B3C"/>
    <w:rsid w:val="00BD3768"/>
    <w:rsid w:val="00BE0592"/>
    <w:rsid w:val="00BE25A1"/>
    <w:rsid w:val="00BF76AD"/>
    <w:rsid w:val="00C027DF"/>
    <w:rsid w:val="00C123A8"/>
    <w:rsid w:val="00C17A45"/>
    <w:rsid w:val="00C35541"/>
    <w:rsid w:val="00C418AB"/>
    <w:rsid w:val="00C4447D"/>
    <w:rsid w:val="00C44527"/>
    <w:rsid w:val="00C508AB"/>
    <w:rsid w:val="00C539B7"/>
    <w:rsid w:val="00C62CB9"/>
    <w:rsid w:val="00C660B0"/>
    <w:rsid w:val="00C73973"/>
    <w:rsid w:val="00C870C6"/>
    <w:rsid w:val="00C9057C"/>
    <w:rsid w:val="00C912E8"/>
    <w:rsid w:val="00CA05E6"/>
    <w:rsid w:val="00CA4852"/>
    <w:rsid w:val="00CA5826"/>
    <w:rsid w:val="00CA6348"/>
    <w:rsid w:val="00CB2DEC"/>
    <w:rsid w:val="00CD5416"/>
    <w:rsid w:val="00CD762B"/>
    <w:rsid w:val="00CE45F3"/>
    <w:rsid w:val="00CF5D32"/>
    <w:rsid w:val="00D313DB"/>
    <w:rsid w:val="00D32A75"/>
    <w:rsid w:val="00D43039"/>
    <w:rsid w:val="00D475DC"/>
    <w:rsid w:val="00D5574C"/>
    <w:rsid w:val="00D66155"/>
    <w:rsid w:val="00D71C74"/>
    <w:rsid w:val="00D84117"/>
    <w:rsid w:val="00D936A0"/>
    <w:rsid w:val="00D957B8"/>
    <w:rsid w:val="00DA25FC"/>
    <w:rsid w:val="00DA78E6"/>
    <w:rsid w:val="00DB7DE7"/>
    <w:rsid w:val="00DC0705"/>
    <w:rsid w:val="00DC3A11"/>
    <w:rsid w:val="00DD0652"/>
    <w:rsid w:val="00DE2D1E"/>
    <w:rsid w:val="00E04A96"/>
    <w:rsid w:val="00E052D9"/>
    <w:rsid w:val="00E06FC6"/>
    <w:rsid w:val="00E11327"/>
    <w:rsid w:val="00E2696A"/>
    <w:rsid w:val="00E272DA"/>
    <w:rsid w:val="00E37E58"/>
    <w:rsid w:val="00E50212"/>
    <w:rsid w:val="00E51071"/>
    <w:rsid w:val="00E55FBF"/>
    <w:rsid w:val="00E60853"/>
    <w:rsid w:val="00E6208C"/>
    <w:rsid w:val="00E63576"/>
    <w:rsid w:val="00E71C05"/>
    <w:rsid w:val="00E735AA"/>
    <w:rsid w:val="00EA451B"/>
    <w:rsid w:val="00EA4B2A"/>
    <w:rsid w:val="00EC2B46"/>
    <w:rsid w:val="00EC4FD5"/>
    <w:rsid w:val="00ED7F13"/>
    <w:rsid w:val="00EE7BF1"/>
    <w:rsid w:val="00EF19D4"/>
    <w:rsid w:val="00EF4A83"/>
    <w:rsid w:val="00EF6AAB"/>
    <w:rsid w:val="00F02200"/>
    <w:rsid w:val="00F11A54"/>
    <w:rsid w:val="00F143D3"/>
    <w:rsid w:val="00F16519"/>
    <w:rsid w:val="00F21450"/>
    <w:rsid w:val="00F26370"/>
    <w:rsid w:val="00F3705F"/>
    <w:rsid w:val="00F42A1B"/>
    <w:rsid w:val="00F521A5"/>
    <w:rsid w:val="00F64FC4"/>
    <w:rsid w:val="00F66645"/>
    <w:rsid w:val="00F67634"/>
    <w:rsid w:val="00F76A62"/>
    <w:rsid w:val="00F86415"/>
    <w:rsid w:val="00FA21FC"/>
    <w:rsid w:val="00FA5EAE"/>
    <w:rsid w:val="00FA7E76"/>
    <w:rsid w:val="00FB1150"/>
    <w:rsid w:val="00FB1D80"/>
    <w:rsid w:val="00FB5BC4"/>
    <w:rsid w:val="00FC554B"/>
    <w:rsid w:val="00FD064D"/>
    <w:rsid w:val="00FD3A8A"/>
    <w:rsid w:val="00FD468A"/>
    <w:rsid w:val="00FD5428"/>
    <w:rsid w:val="00FD65C1"/>
    <w:rsid w:val="00FD6BE4"/>
    <w:rsid w:val="00FF7090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04BB4"/>
  <w15:chartTrackingRefBased/>
  <w15:docId w15:val="{4E189375-F1D3-45AA-9131-67FD9CF1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napToGrid w:val="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8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28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128A"/>
    <w:rPr>
      <w:rFonts w:ascii="AngsanaUPC" w:eastAsia="Cordia New" w:hAnsi="AngsanaUPC" w:cs="Angsana New"/>
      <w:snapToGrid/>
      <w:sz w:val="32"/>
      <w:szCs w:val="40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9F128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128A"/>
    <w:rPr>
      <w:rFonts w:ascii="AngsanaUPC" w:eastAsia="Cordia New" w:hAnsi="AngsanaUPC" w:cs="Angsana New"/>
      <w:snapToGrid/>
      <w:sz w:val="32"/>
      <w:szCs w:val="40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5624D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4DC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4DC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4DC"/>
    <w:rPr>
      <w:rFonts w:cs="Angsana New"/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DC0705"/>
    <w:pPr>
      <w:ind w:left="720"/>
      <w:contextualSpacing/>
    </w:pPr>
    <w:rPr>
      <w:rFonts w:cs="Angsana New"/>
      <w:szCs w:val="40"/>
    </w:rPr>
  </w:style>
  <w:style w:type="character" w:styleId="PageNumber">
    <w:name w:val="page number"/>
    <w:rsid w:val="008A34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A2BE-3994-40AC-9315-1C9D8293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Jirapathara Chiravinich</dc:creator>
  <cp:keywords/>
  <dc:description/>
  <cp:lastModifiedBy>Anon Silpavuthi</cp:lastModifiedBy>
  <cp:revision>3</cp:revision>
  <cp:lastPrinted>2021-07-09T10:23:00Z</cp:lastPrinted>
  <dcterms:created xsi:type="dcterms:W3CDTF">2022-06-07T08:54:00Z</dcterms:created>
  <dcterms:modified xsi:type="dcterms:W3CDTF">2022-06-07T08:58:00Z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2021-04-05T09:40:51Z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89e4d3f6-675a-4489-ad18-4282a8bb827c</vt:lpwstr>
  </property>
  <property fmtid="{D5CDD505-2E9C-101B-9397-08002B2CF9AE}" pid="8" name="MSIP_Label_93a13704-be5e-4c4e-997b-ac174f3dc22e_ContentBits">
    <vt:lpwstr>0</vt:lpwstr>
  </property>
</Properties>
</file>